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E215" w14:textId="3731A34F" w:rsidR="006C7A68" w:rsidRDefault="006C7A68">
      <w:pPr>
        <w:rPr>
          <w:b/>
          <w:noProof/>
          <w:sz w:val="36"/>
          <w:szCs w:val="36"/>
        </w:rPr>
      </w:pPr>
    </w:p>
    <w:p w14:paraId="0652ED89" w14:textId="77777777" w:rsidR="003E5765" w:rsidRDefault="003E5765">
      <w:pPr>
        <w:rPr>
          <w:b/>
          <w:noProof/>
          <w:sz w:val="36"/>
          <w:szCs w:val="36"/>
        </w:rPr>
      </w:pPr>
    </w:p>
    <w:p w14:paraId="6F96F2C4" w14:textId="77777777" w:rsidR="00477BBC" w:rsidRDefault="00477BBC">
      <w:pPr>
        <w:rPr>
          <w:b/>
          <w:sz w:val="36"/>
          <w:szCs w:val="36"/>
        </w:rPr>
      </w:pPr>
    </w:p>
    <w:p w14:paraId="107EF69E" w14:textId="3DEAC8B7" w:rsidR="0028283B" w:rsidRPr="00F63DEA" w:rsidRDefault="00740967">
      <w:pPr>
        <w:rPr>
          <w:b/>
          <w:sz w:val="36"/>
          <w:szCs w:val="36"/>
        </w:rPr>
      </w:pPr>
      <w:r>
        <w:rPr>
          <w:b/>
          <w:sz w:val="36"/>
          <w:szCs w:val="36"/>
        </w:rPr>
        <w:t>Regulatory and L</w:t>
      </w:r>
      <w:r w:rsidR="00F63DEA">
        <w:rPr>
          <w:b/>
          <w:sz w:val="36"/>
          <w:szCs w:val="36"/>
        </w:rPr>
        <w:t xml:space="preserve">egislative </w:t>
      </w:r>
      <w:r w:rsidR="0028283B" w:rsidRPr="00F63DEA">
        <w:rPr>
          <w:b/>
          <w:sz w:val="36"/>
          <w:szCs w:val="36"/>
        </w:rPr>
        <w:t>Update</w:t>
      </w:r>
    </w:p>
    <w:p w14:paraId="71C7D14E" w14:textId="638F58B5" w:rsidR="0028283B" w:rsidRDefault="006A6B09">
      <w:pPr>
        <w:rPr>
          <w:sz w:val="32"/>
          <w:szCs w:val="32"/>
        </w:rPr>
      </w:pPr>
      <w:r>
        <w:rPr>
          <w:sz w:val="32"/>
          <w:szCs w:val="32"/>
        </w:rPr>
        <w:t>April</w:t>
      </w:r>
      <w:r w:rsidR="004A216F">
        <w:rPr>
          <w:sz w:val="32"/>
          <w:szCs w:val="32"/>
        </w:rPr>
        <w:t xml:space="preserve"> </w:t>
      </w:r>
      <w:r w:rsidR="001813B0">
        <w:rPr>
          <w:sz w:val="32"/>
          <w:szCs w:val="32"/>
        </w:rPr>
        <w:t>201</w:t>
      </w:r>
      <w:r w:rsidR="004A216F">
        <w:rPr>
          <w:sz w:val="32"/>
          <w:szCs w:val="32"/>
        </w:rPr>
        <w:t>9</w:t>
      </w:r>
    </w:p>
    <w:p w14:paraId="22A9027C" w14:textId="645B6CE3" w:rsidR="00427285" w:rsidRDefault="00427285">
      <w:pPr>
        <w:rPr>
          <w:sz w:val="32"/>
          <w:szCs w:val="32"/>
        </w:rPr>
      </w:pPr>
    </w:p>
    <w:p w14:paraId="226D2698" w14:textId="3C3B148F" w:rsidR="00427285" w:rsidRDefault="00427285">
      <w:pPr>
        <w:rPr>
          <w:b/>
          <w:sz w:val="32"/>
          <w:szCs w:val="32"/>
        </w:rPr>
      </w:pPr>
      <w:r w:rsidRPr="00427285">
        <w:rPr>
          <w:b/>
          <w:sz w:val="32"/>
          <w:szCs w:val="32"/>
        </w:rPr>
        <w:t>Contents</w:t>
      </w:r>
    </w:p>
    <w:p w14:paraId="41907F0D" w14:textId="04FF45AF" w:rsidR="00026269" w:rsidRDefault="00026269">
      <w:pPr>
        <w:rPr>
          <w:b/>
          <w:sz w:val="24"/>
          <w:szCs w:val="32"/>
        </w:rPr>
      </w:pPr>
      <w:r w:rsidRPr="00026269">
        <w:rPr>
          <w:b/>
          <w:sz w:val="24"/>
          <w:szCs w:val="32"/>
        </w:rPr>
        <w:t>Regulation and Enforcement</w:t>
      </w:r>
    </w:p>
    <w:p w14:paraId="36FCA338" w14:textId="04025043" w:rsidR="00C344BC" w:rsidRPr="007A5CA3" w:rsidRDefault="007A5CA3" w:rsidP="00B22DBD">
      <w:pPr>
        <w:rPr>
          <w:rStyle w:val="Hyperlink"/>
          <w:sz w:val="24"/>
          <w:szCs w:val="24"/>
        </w:rPr>
      </w:pPr>
      <w:r>
        <w:rPr>
          <w:rStyle w:val="Hyperlink"/>
          <w:sz w:val="24"/>
          <w:szCs w:val="24"/>
        </w:rPr>
        <w:fldChar w:fldCharType="begin"/>
      </w:r>
      <w:r>
        <w:rPr>
          <w:rStyle w:val="Hyperlink"/>
          <w:sz w:val="24"/>
          <w:szCs w:val="24"/>
        </w:rPr>
        <w:instrText xml:space="preserve"> HYPERLINK  \l "HOS" </w:instrText>
      </w:r>
      <w:r>
        <w:rPr>
          <w:rStyle w:val="Hyperlink"/>
          <w:sz w:val="24"/>
          <w:szCs w:val="24"/>
        </w:rPr>
        <w:fldChar w:fldCharType="separate"/>
      </w:r>
      <w:r w:rsidRPr="007A5CA3">
        <w:rPr>
          <w:rStyle w:val="Hyperlink"/>
          <w:sz w:val="24"/>
          <w:szCs w:val="24"/>
        </w:rPr>
        <w:t>HOS reform plan goes to White House for review</w:t>
      </w:r>
    </w:p>
    <w:p w14:paraId="03F5D81E" w14:textId="0A55B0D5" w:rsidR="006A6B09" w:rsidRDefault="007A5CA3" w:rsidP="00B22DBD">
      <w:pPr>
        <w:rPr>
          <w:rStyle w:val="Hyperlink"/>
          <w:sz w:val="24"/>
          <w:szCs w:val="24"/>
        </w:rPr>
      </w:pPr>
      <w:r>
        <w:rPr>
          <w:rStyle w:val="Hyperlink"/>
          <w:sz w:val="24"/>
          <w:szCs w:val="24"/>
        </w:rPr>
        <w:fldChar w:fldCharType="end"/>
      </w:r>
      <w:hyperlink w:anchor="Preempt" w:history="1">
        <w:r w:rsidR="00B04001" w:rsidRPr="00B04001">
          <w:rPr>
            <w:rStyle w:val="Hyperlink"/>
            <w:sz w:val="24"/>
            <w:szCs w:val="24"/>
          </w:rPr>
          <w:t>FMCSA clarifies application of preemption ruling in litigation</w:t>
        </w:r>
      </w:hyperlink>
    </w:p>
    <w:p w14:paraId="15F441E6" w14:textId="178FD548" w:rsidR="0053073C" w:rsidRDefault="00C95921" w:rsidP="00B22DBD">
      <w:pPr>
        <w:rPr>
          <w:rStyle w:val="Hyperlink"/>
          <w:sz w:val="24"/>
          <w:szCs w:val="24"/>
        </w:rPr>
      </w:pPr>
      <w:hyperlink w:anchor="DOL" w:history="1">
        <w:r w:rsidR="00DF25A6" w:rsidRPr="00DF25A6">
          <w:rPr>
            <w:rStyle w:val="Hyperlink"/>
            <w:sz w:val="24"/>
            <w:szCs w:val="24"/>
          </w:rPr>
          <w:t>DOL proposes to relax rules on treatment of certain employee payments</w:t>
        </w:r>
      </w:hyperlink>
    </w:p>
    <w:p w14:paraId="4DA879E6" w14:textId="399BC0F4" w:rsidR="005E35C2" w:rsidRDefault="00C95921" w:rsidP="00B22DBD">
      <w:pPr>
        <w:rPr>
          <w:sz w:val="24"/>
          <w:szCs w:val="16"/>
        </w:rPr>
      </w:pPr>
      <w:hyperlink w:anchor="Waste" w:history="1">
        <w:r w:rsidR="00765413" w:rsidRPr="005D0102">
          <w:rPr>
            <w:rStyle w:val="Hyperlink"/>
            <w:sz w:val="24"/>
            <w:szCs w:val="16"/>
          </w:rPr>
          <w:t>Waste haulers seek relief from 12-hour return requirement</w:t>
        </w:r>
      </w:hyperlink>
    </w:p>
    <w:p w14:paraId="22338AC6" w14:textId="54F92E6F" w:rsidR="005E35C2" w:rsidRDefault="00C95921" w:rsidP="00B22DBD">
      <w:pPr>
        <w:rPr>
          <w:sz w:val="24"/>
          <w:szCs w:val="16"/>
        </w:rPr>
      </w:pPr>
      <w:hyperlink w:anchor="Helicopter" w:history="1">
        <w:r w:rsidR="005E35C2" w:rsidRPr="005E35C2">
          <w:rPr>
            <w:rStyle w:val="Hyperlink"/>
            <w:sz w:val="24"/>
            <w:szCs w:val="16"/>
          </w:rPr>
          <w:t>Helicopter firm seeks HOS relief for ground support drivers</w:t>
        </w:r>
      </w:hyperlink>
    </w:p>
    <w:p w14:paraId="1C655C87" w14:textId="72CF6F84" w:rsidR="00AB594D" w:rsidRPr="00AB594D" w:rsidRDefault="00C95921" w:rsidP="00B22DBD">
      <w:pPr>
        <w:rPr>
          <w:sz w:val="28"/>
          <w:szCs w:val="16"/>
        </w:rPr>
      </w:pPr>
      <w:hyperlink w:anchor="Laydon" w:history="1">
        <w:r w:rsidR="00AB594D" w:rsidRPr="00AB594D">
          <w:rPr>
            <w:rStyle w:val="Hyperlink"/>
            <w:sz w:val="24"/>
            <w:szCs w:val="16"/>
          </w:rPr>
          <w:t>Aerodynamic device supplier seeks relief on rear lighting rules</w:t>
        </w:r>
      </w:hyperlink>
    </w:p>
    <w:p w14:paraId="456FDEAB" w14:textId="49FAD684" w:rsidR="000B7362" w:rsidRPr="000B7362" w:rsidRDefault="00C95921" w:rsidP="000B7362">
      <w:pPr>
        <w:rPr>
          <w:sz w:val="24"/>
          <w:szCs w:val="16"/>
        </w:rPr>
      </w:pPr>
      <w:hyperlink w:anchor="Gravity" w:history="1">
        <w:r w:rsidR="000B7362" w:rsidRPr="000B7362">
          <w:rPr>
            <w:rStyle w:val="Hyperlink"/>
            <w:sz w:val="24"/>
            <w:szCs w:val="16"/>
          </w:rPr>
          <w:t>Firm seeks exemption regarding fueling of auxiliary equipment</w:t>
        </w:r>
      </w:hyperlink>
    </w:p>
    <w:p w14:paraId="7EED6E74" w14:textId="0126F943" w:rsidR="00DF25A6" w:rsidRPr="008176D2" w:rsidRDefault="00C95921" w:rsidP="00B22DBD">
      <w:pPr>
        <w:rPr>
          <w:sz w:val="24"/>
        </w:rPr>
      </w:pPr>
      <w:hyperlink w:anchor="CVSA" w:history="1">
        <w:r w:rsidR="008176D2" w:rsidRPr="008176D2">
          <w:rPr>
            <w:rStyle w:val="Hyperlink"/>
            <w:sz w:val="24"/>
            <w:szCs w:val="16"/>
          </w:rPr>
          <w:t>CVSA’s International Roadcheck scheduled for June 4-6</w:t>
        </w:r>
      </w:hyperlink>
    </w:p>
    <w:p w14:paraId="2B330A07" w14:textId="77777777" w:rsidR="008176D2" w:rsidRDefault="008176D2" w:rsidP="00B22DBD"/>
    <w:p w14:paraId="2C0BCF11" w14:textId="0728CEDC" w:rsidR="007A5CA3" w:rsidRPr="00851C38" w:rsidRDefault="00851C38">
      <w:pPr>
        <w:rPr>
          <w:b/>
          <w:sz w:val="24"/>
        </w:rPr>
      </w:pPr>
      <w:r w:rsidRPr="00851C38">
        <w:rPr>
          <w:b/>
          <w:sz w:val="24"/>
        </w:rPr>
        <w:t>Courts</w:t>
      </w:r>
    </w:p>
    <w:p w14:paraId="360ED536" w14:textId="373E6A4D" w:rsidR="0062102A" w:rsidRDefault="00C95921" w:rsidP="0062102A">
      <w:pPr>
        <w:rPr>
          <w:sz w:val="24"/>
          <w:szCs w:val="16"/>
        </w:rPr>
      </w:pPr>
      <w:hyperlink w:anchor="Dynamex" w:history="1">
        <w:r w:rsidR="0062102A" w:rsidRPr="00686961">
          <w:rPr>
            <w:rStyle w:val="Hyperlink"/>
            <w:sz w:val="24"/>
            <w:szCs w:val="16"/>
          </w:rPr>
          <w:t>Federal court dismisses WSTA challenge to California Dynamex ruling</w:t>
        </w:r>
      </w:hyperlink>
    </w:p>
    <w:p w14:paraId="1A4E01A3" w14:textId="57C49CAD" w:rsidR="008104C1" w:rsidRDefault="00C95921" w:rsidP="008104C1">
      <w:pPr>
        <w:rPr>
          <w:szCs w:val="16"/>
        </w:rPr>
      </w:pPr>
      <w:hyperlink w:anchor="Supreme" w:history="1">
        <w:r w:rsidR="008104C1" w:rsidRPr="008104C1">
          <w:rPr>
            <w:rStyle w:val="Hyperlink"/>
            <w:sz w:val="24"/>
            <w:szCs w:val="16"/>
          </w:rPr>
          <w:t>U.S. Supreme Court lets stand ruling in California driver classification case</w:t>
        </w:r>
      </w:hyperlink>
    </w:p>
    <w:p w14:paraId="013FA43C" w14:textId="6E85DFAE" w:rsidR="007319F4" w:rsidRDefault="00C95921" w:rsidP="00743947">
      <w:pPr>
        <w:rPr>
          <w:sz w:val="24"/>
          <w:szCs w:val="16"/>
        </w:rPr>
      </w:pPr>
      <w:hyperlink w:anchor="Swift" w:history="1">
        <w:r w:rsidR="007319F4" w:rsidRPr="005F06E1">
          <w:rPr>
            <w:rStyle w:val="Hyperlink"/>
            <w:sz w:val="24"/>
            <w:szCs w:val="16"/>
          </w:rPr>
          <w:t>Swift Transportation settles classification suit for up to $100 million</w:t>
        </w:r>
      </w:hyperlink>
    </w:p>
    <w:p w14:paraId="631C049B" w14:textId="1AF602CE" w:rsidR="00743947" w:rsidRDefault="00C95921" w:rsidP="00743947">
      <w:pPr>
        <w:rPr>
          <w:sz w:val="24"/>
          <w:szCs w:val="16"/>
        </w:rPr>
      </w:pPr>
      <w:hyperlink w:anchor="Rhode" w:history="1">
        <w:r w:rsidR="00743947" w:rsidRPr="00DF25A6">
          <w:rPr>
            <w:rStyle w:val="Hyperlink"/>
            <w:sz w:val="24"/>
            <w:szCs w:val="16"/>
          </w:rPr>
          <w:t>Carriers appeal dismissal of federal lawsuit on Rhode Island tolls</w:t>
        </w:r>
      </w:hyperlink>
    </w:p>
    <w:p w14:paraId="6AD66962" w14:textId="77777777" w:rsidR="00AB594D" w:rsidRPr="00743947" w:rsidRDefault="00AB594D" w:rsidP="00743947">
      <w:pPr>
        <w:rPr>
          <w:sz w:val="24"/>
          <w:szCs w:val="16"/>
        </w:rPr>
      </w:pPr>
    </w:p>
    <w:p w14:paraId="1055CA81" w14:textId="374512B6" w:rsidR="00B008D5" w:rsidRPr="00E83FE7" w:rsidRDefault="00735CCE">
      <w:pPr>
        <w:rPr>
          <w:b/>
          <w:sz w:val="24"/>
        </w:rPr>
      </w:pPr>
      <w:r w:rsidRPr="00E83FE7">
        <w:rPr>
          <w:b/>
          <w:sz w:val="24"/>
        </w:rPr>
        <w:t>Analysis</w:t>
      </w:r>
    </w:p>
    <w:p w14:paraId="19E57530" w14:textId="62BF14F4" w:rsidR="00B008D5" w:rsidRPr="00E83FE7" w:rsidRDefault="00C95921">
      <w:pPr>
        <w:rPr>
          <w:sz w:val="24"/>
        </w:rPr>
      </w:pPr>
      <w:hyperlink w:anchor="Analysis" w:history="1">
        <w:r w:rsidR="00B008D5" w:rsidRPr="003725E8">
          <w:rPr>
            <w:rStyle w:val="Hyperlink"/>
            <w:sz w:val="24"/>
          </w:rPr>
          <w:t>Preventability</w:t>
        </w:r>
      </w:hyperlink>
    </w:p>
    <w:p w14:paraId="1DFB58C3" w14:textId="77777777" w:rsidR="00B008D5" w:rsidRPr="00E83FE7" w:rsidRDefault="00B008D5">
      <w:pPr>
        <w:rPr>
          <w:sz w:val="24"/>
        </w:rPr>
      </w:pPr>
    </w:p>
    <w:p w14:paraId="462FEC78" w14:textId="74A8E939" w:rsidR="00B008D5" w:rsidRPr="00B008D5" w:rsidRDefault="00B008D5">
      <w:pPr>
        <w:rPr>
          <w:b/>
          <w:sz w:val="24"/>
        </w:rPr>
      </w:pPr>
      <w:r w:rsidRPr="00E83FE7">
        <w:rPr>
          <w:b/>
          <w:sz w:val="24"/>
        </w:rPr>
        <w:t>Frequently Asked Questions</w:t>
      </w:r>
    </w:p>
    <w:p w14:paraId="662868B0" w14:textId="77777777" w:rsidR="00B008D5" w:rsidRDefault="00B008D5">
      <w:pPr>
        <w:rPr>
          <w:sz w:val="24"/>
        </w:rPr>
      </w:pPr>
    </w:p>
    <w:p w14:paraId="377F51ED" w14:textId="174C5368" w:rsidR="00240D77" w:rsidRPr="005D37E4" w:rsidRDefault="00B008D5">
      <w:pPr>
        <w:rPr>
          <w:sz w:val="24"/>
        </w:rPr>
      </w:pPr>
      <w:r>
        <w:rPr>
          <w:noProof/>
        </w:rPr>
        <mc:AlternateContent>
          <mc:Choice Requires="wps">
            <w:drawing>
              <wp:anchor distT="45720" distB="45720" distL="114300" distR="114300" simplePos="0" relativeHeight="251659264" behindDoc="1" locked="0" layoutInCell="1" allowOverlap="1" wp14:anchorId="5645AEED" wp14:editId="1E098DAC">
                <wp:simplePos x="0" y="0"/>
                <wp:positionH relativeFrom="column">
                  <wp:posOffset>20955</wp:posOffset>
                </wp:positionH>
                <wp:positionV relativeFrom="paragraph">
                  <wp:posOffset>123190</wp:posOffset>
                </wp:positionV>
                <wp:extent cx="2644775" cy="348615"/>
                <wp:effectExtent l="0" t="0" r="2222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8615"/>
                        </a:xfrm>
                        <a:prstGeom prst="rect">
                          <a:avLst/>
                        </a:prstGeom>
                        <a:solidFill>
                          <a:schemeClr val="bg1">
                            <a:lumMod val="50000"/>
                          </a:schemeClr>
                        </a:solidFill>
                        <a:ln w="9525">
                          <a:solidFill>
                            <a:srgbClr val="000000"/>
                          </a:solidFill>
                          <a:miter lim="800000"/>
                          <a:headEnd/>
                          <a:tailEnd/>
                        </a:ln>
                      </wps:spPr>
                      <wps:txbx>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5AEED" id="_x0000_t202" coordsize="21600,21600" o:spt="202" path="m,l,21600r21600,l21600,xe">
                <v:stroke joinstyle="miter"/>
                <v:path gradientshapeok="t" o:connecttype="rect"/>
              </v:shapetype>
              <v:shape id="Text Box 2" o:spid="_x0000_s1026" type="#_x0000_t202" style="position:absolute;margin-left:1.65pt;margin-top:9.7pt;width:208.25pt;height:27.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" fillcolor="#7f7f7f [1612]">
                <v:textbox style="mso-fit-shape-to-text:t">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v:textbox>
              </v:shape>
            </w:pict>
          </mc:Fallback>
        </mc:AlternateContent>
      </w:r>
      <w:r w:rsidR="00735CCE">
        <w:rPr>
          <w:sz w:val="24"/>
        </w:rPr>
        <w:t xml:space="preserve"> </w:t>
      </w:r>
    </w:p>
    <w:p w14:paraId="0CC23859" w14:textId="3617339A" w:rsidR="0028283B" w:rsidRPr="00F63DEA" w:rsidRDefault="0028283B">
      <w:pPr>
        <w:rPr>
          <w:b/>
          <w:sz w:val="32"/>
          <w:szCs w:val="32"/>
        </w:rPr>
      </w:pPr>
    </w:p>
    <w:p w14:paraId="0849E8D1" w14:textId="0866DB52" w:rsidR="00CC16EF" w:rsidRDefault="00CC16EF">
      <w:pPr>
        <w:rPr>
          <w:sz w:val="16"/>
          <w:szCs w:val="16"/>
        </w:rPr>
      </w:pPr>
    </w:p>
    <w:p w14:paraId="401FB1DD" w14:textId="7455FCD7" w:rsidR="00493069" w:rsidRPr="00D553C4" w:rsidRDefault="007A5CA3" w:rsidP="00493069">
      <w:pPr>
        <w:rPr>
          <w:b/>
          <w:sz w:val="28"/>
          <w:szCs w:val="16"/>
        </w:rPr>
      </w:pPr>
      <w:bookmarkStart w:id="0" w:name="ClassB"/>
      <w:bookmarkStart w:id="1" w:name="HOS"/>
      <w:bookmarkEnd w:id="0"/>
      <w:bookmarkEnd w:id="1"/>
      <w:r>
        <w:rPr>
          <w:b/>
          <w:sz w:val="28"/>
          <w:szCs w:val="16"/>
        </w:rPr>
        <w:t>HOS reform plan goes to White House for review</w:t>
      </w:r>
    </w:p>
    <w:p w14:paraId="75BC7C43" w14:textId="16421AFB" w:rsidR="007A5CA3" w:rsidRDefault="00D00B43" w:rsidP="007A5CA3">
      <w:pPr>
        <w:rPr>
          <w:szCs w:val="16"/>
        </w:rPr>
      </w:pPr>
      <w:r>
        <w:rPr>
          <w:szCs w:val="16"/>
        </w:rPr>
        <w:t>T</w:t>
      </w:r>
      <w:r w:rsidR="007A5CA3" w:rsidRPr="007A5CA3">
        <w:rPr>
          <w:szCs w:val="16"/>
        </w:rPr>
        <w:t xml:space="preserve">he </w:t>
      </w:r>
      <w:r w:rsidR="007A5CA3">
        <w:rPr>
          <w:szCs w:val="16"/>
        </w:rPr>
        <w:t xml:space="preserve">U.S. Department of Transportation (DOT) on March 28 sent to the </w:t>
      </w:r>
      <w:r w:rsidR="007A5CA3" w:rsidRPr="007A5CA3">
        <w:rPr>
          <w:szCs w:val="16"/>
        </w:rPr>
        <w:t xml:space="preserve">White House </w:t>
      </w:r>
      <w:r w:rsidR="007A5CA3">
        <w:rPr>
          <w:szCs w:val="16"/>
        </w:rPr>
        <w:t xml:space="preserve">Office of Management and Budget (OMB) a draft </w:t>
      </w:r>
      <w:r w:rsidR="007A5CA3" w:rsidRPr="007A5CA3">
        <w:rPr>
          <w:szCs w:val="16"/>
        </w:rPr>
        <w:t xml:space="preserve">proposal </w:t>
      </w:r>
      <w:r w:rsidR="007A5CA3">
        <w:rPr>
          <w:szCs w:val="16"/>
        </w:rPr>
        <w:t xml:space="preserve">for changes to drivers’ </w:t>
      </w:r>
      <w:r w:rsidR="007A5CA3" w:rsidRPr="007A5CA3">
        <w:rPr>
          <w:szCs w:val="16"/>
        </w:rPr>
        <w:t>hours-of-service re</w:t>
      </w:r>
      <w:r w:rsidR="007A5CA3">
        <w:rPr>
          <w:szCs w:val="16"/>
        </w:rPr>
        <w:t xml:space="preserve">gulations. OMB review is the last step before publication of a notice of proposed rulemaking (NPRM) in the Federal Register </w:t>
      </w:r>
    </w:p>
    <w:p w14:paraId="60916AAB" w14:textId="39C3739D" w:rsidR="00851C38" w:rsidRDefault="00851C38" w:rsidP="00851C38">
      <w:pPr>
        <w:ind w:firstLine="720"/>
      </w:pPr>
      <w:r>
        <w:rPr>
          <w:szCs w:val="16"/>
        </w:rPr>
        <w:t xml:space="preserve">An advance notice of proposed rulemaking (ANPRM) issued last year requested comments on changes in four areas: </w:t>
      </w:r>
      <w:r>
        <w:t xml:space="preserve">(1) short-haul operations; (2) adverse driving conditions; (3) the 30-minute rest break; and (4) split sleeper berth time. Although the ANPRM did not </w:t>
      </w:r>
      <w:r w:rsidR="002426BF">
        <w:t xml:space="preserve">directly propose any changes, the limited scope of the inquiry strongly suggested it was focusing on changes in those areas. </w:t>
      </w:r>
      <w:r>
        <w:t xml:space="preserve">In the area of short-haul operations, </w:t>
      </w:r>
      <w:r w:rsidR="002426BF">
        <w:t>the Federal Motor Carrier Safety Administration (</w:t>
      </w:r>
      <w:r>
        <w:t>FMCSA</w:t>
      </w:r>
      <w:r w:rsidR="002426BF">
        <w:t>)</w:t>
      </w:r>
      <w:r>
        <w:t xml:space="preserve"> hinted that is considering harmonizing the limit on consecutive hours worked limit with lon</w:t>
      </w:r>
      <w:r w:rsidR="002426BF">
        <w:t>g</w:t>
      </w:r>
      <w:r>
        <w:t xml:space="preserve">er-haul by increasing the 12-hour window to complete driving to 14 hours. Regarding adverse driving conditions, the agency noted that the current regulations allow for up to two more hours of driving time but not an increase in the 14-hour driving window to 16 hours. FMCSA also signaled </w:t>
      </w:r>
      <w:r>
        <w:lastRenderedPageBreak/>
        <w:t>that it is considering eliminating or modifying the requirement for a 30-minute rest break. Finally, the agency reaffirmed that it is considering restoring some flexibility in use of the sleeper berth to split mandatory rest.</w:t>
      </w:r>
    </w:p>
    <w:p w14:paraId="1F374CD5" w14:textId="5111FA7D" w:rsidR="00743947" w:rsidRPr="007A5CA3" w:rsidRDefault="002426BF" w:rsidP="00743947">
      <w:pPr>
        <w:ind w:firstLine="720"/>
        <w:rPr>
          <w:szCs w:val="16"/>
        </w:rPr>
      </w:pPr>
      <w:r>
        <w:rPr>
          <w:szCs w:val="16"/>
        </w:rPr>
        <w:t xml:space="preserve">FMCSA has indicated since last fall that HOS changes were on a fast track. For example, the agency had planned to conduct a pilot project on split rest that would not have even started until this year, but it cancelled that project and decided to rely on data provided during the rulemaking process. Given that the draft NPRM is considered a deregulatory action that reduces a burden on industry, OMB review could be swift, but it likely would take a few weeks at bare minimum. Once published, interested parties likely would have at least 60 days to comment. The proposal is certain to draw thousands </w:t>
      </w:r>
      <w:r w:rsidRPr="002426BF">
        <w:rPr>
          <w:szCs w:val="16"/>
        </w:rPr>
        <w:t xml:space="preserve">of comments, </w:t>
      </w:r>
      <w:r>
        <w:rPr>
          <w:szCs w:val="16"/>
        </w:rPr>
        <w:t xml:space="preserve">so even an aggressive push to change the rules probably would not result in a final rule until at least the fourth quarter of 2019. </w:t>
      </w:r>
      <w:r w:rsidR="00743947">
        <w:rPr>
          <w:szCs w:val="16"/>
        </w:rPr>
        <w:t xml:space="preserve">Of course, the changes would not be effective immediately because of the training of drivers, </w:t>
      </w:r>
      <w:r w:rsidR="00743947" w:rsidRPr="007A5CA3">
        <w:rPr>
          <w:szCs w:val="16"/>
        </w:rPr>
        <w:t>carrier</w:t>
      </w:r>
      <w:r w:rsidR="00743947">
        <w:rPr>
          <w:szCs w:val="16"/>
        </w:rPr>
        <w:t>s</w:t>
      </w:r>
      <w:r w:rsidR="00743947" w:rsidRPr="007A5CA3">
        <w:rPr>
          <w:szCs w:val="16"/>
        </w:rPr>
        <w:t xml:space="preserve"> and roadside inspector</w:t>
      </w:r>
      <w:r w:rsidR="00743947">
        <w:rPr>
          <w:szCs w:val="16"/>
        </w:rPr>
        <w:t xml:space="preserve">s that would be needed as well as the </w:t>
      </w:r>
      <w:r w:rsidR="00743947" w:rsidRPr="007A5CA3">
        <w:rPr>
          <w:szCs w:val="16"/>
        </w:rPr>
        <w:t xml:space="preserve">necessary reprogramming of </w:t>
      </w:r>
      <w:r w:rsidR="00743947">
        <w:rPr>
          <w:szCs w:val="16"/>
        </w:rPr>
        <w:t xml:space="preserve">electronic logging devices. This all assumes </w:t>
      </w:r>
      <w:r w:rsidR="00743947" w:rsidRPr="007A5CA3">
        <w:rPr>
          <w:szCs w:val="16"/>
        </w:rPr>
        <w:t xml:space="preserve">that the rule survives the inevitable court challenge by safety advocates. </w:t>
      </w:r>
    </w:p>
    <w:p w14:paraId="58A2EE80" w14:textId="2CCB23E0" w:rsidR="002426BF" w:rsidRDefault="002426BF" w:rsidP="002426BF">
      <w:pPr>
        <w:ind w:firstLine="720"/>
        <w:rPr>
          <w:szCs w:val="16"/>
        </w:rPr>
      </w:pPr>
      <w:r>
        <w:rPr>
          <w:szCs w:val="16"/>
        </w:rPr>
        <w:t xml:space="preserve">DOT Secretary Elaine Chao announced the sending of the draft </w:t>
      </w:r>
      <w:r w:rsidR="00743947">
        <w:rPr>
          <w:szCs w:val="16"/>
        </w:rPr>
        <w:t xml:space="preserve">NPRM </w:t>
      </w:r>
      <w:r>
        <w:rPr>
          <w:szCs w:val="16"/>
        </w:rPr>
        <w:t>to OMB</w:t>
      </w:r>
      <w:r w:rsidR="00743947">
        <w:rPr>
          <w:szCs w:val="16"/>
        </w:rPr>
        <w:t xml:space="preserve"> on March 29 during a speech at the Mid-America Trucking Show. In the same speech she also announced that FMCSA intended to make permanent its demonstration program on crash preventability reviews.</w:t>
      </w:r>
    </w:p>
    <w:p w14:paraId="5637F4E9" w14:textId="3BBB68DC" w:rsidR="006A6B09" w:rsidRDefault="006A6B09" w:rsidP="006A6B09">
      <w:pPr>
        <w:rPr>
          <w:szCs w:val="16"/>
        </w:rPr>
      </w:pPr>
    </w:p>
    <w:p w14:paraId="1124C228" w14:textId="043534D3" w:rsidR="006A6B09" w:rsidRPr="00493069" w:rsidRDefault="006A6B09" w:rsidP="006A6B09">
      <w:pPr>
        <w:rPr>
          <w:b/>
          <w:sz w:val="28"/>
          <w:szCs w:val="16"/>
        </w:rPr>
      </w:pPr>
      <w:bookmarkStart w:id="2" w:name="Preempt"/>
      <w:bookmarkEnd w:id="2"/>
      <w:r>
        <w:rPr>
          <w:b/>
          <w:sz w:val="28"/>
          <w:szCs w:val="16"/>
        </w:rPr>
        <w:t xml:space="preserve">FMCSA clarifies </w:t>
      </w:r>
      <w:r w:rsidR="00B04001">
        <w:rPr>
          <w:b/>
          <w:sz w:val="28"/>
          <w:szCs w:val="16"/>
        </w:rPr>
        <w:t>application of preemption ruling in litigation</w:t>
      </w:r>
    </w:p>
    <w:p w14:paraId="78F25E97" w14:textId="146D9959" w:rsidR="002F4820" w:rsidRDefault="006A6B09" w:rsidP="00493069">
      <w:pPr>
        <w:rPr>
          <w:szCs w:val="16"/>
        </w:rPr>
      </w:pPr>
      <w:r w:rsidRPr="006A6B09">
        <w:rPr>
          <w:szCs w:val="16"/>
        </w:rPr>
        <w:t>FMCSA</w:t>
      </w:r>
      <w:r>
        <w:rPr>
          <w:szCs w:val="16"/>
        </w:rPr>
        <w:t xml:space="preserve">’s chief counsel office has issued an interpretation clarifying that it is the agency’s position that once the agency </w:t>
      </w:r>
      <w:r w:rsidRPr="006A6B09">
        <w:rPr>
          <w:szCs w:val="16"/>
        </w:rPr>
        <w:t xml:space="preserve">issues a preemption decision under Section 31141, the preempted </w:t>
      </w:r>
      <w:r>
        <w:rPr>
          <w:szCs w:val="16"/>
        </w:rPr>
        <w:t>s</w:t>
      </w:r>
      <w:r w:rsidRPr="006A6B09">
        <w:rPr>
          <w:szCs w:val="16"/>
        </w:rPr>
        <w:t>tate law or regulation may not thereafter be enforced regardless of whether the conduct at issue in the lawsuit occurred before or after the decision was issued</w:t>
      </w:r>
      <w:r>
        <w:rPr>
          <w:szCs w:val="16"/>
        </w:rPr>
        <w:t xml:space="preserve">. Nor does it matter whether the </w:t>
      </w:r>
      <w:r w:rsidRPr="006A6B09">
        <w:rPr>
          <w:szCs w:val="16"/>
        </w:rPr>
        <w:t>lawsuit was filed before or after the decision was issued</w:t>
      </w:r>
      <w:r>
        <w:rPr>
          <w:szCs w:val="16"/>
        </w:rPr>
        <w:t>, the chief counsel’s office said in the March 22 opinion.</w:t>
      </w:r>
    </w:p>
    <w:p w14:paraId="4BA0A720" w14:textId="5DA5BC9F" w:rsidR="00B04001" w:rsidRDefault="00B04001" w:rsidP="00493069">
      <w:pPr>
        <w:rPr>
          <w:szCs w:val="16"/>
        </w:rPr>
      </w:pPr>
      <w:r>
        <w:rPr>
          <w:szCs w:val="16"/>
        </w:rPr>
        <w:tab/>
        <w:t xml:space="preserve">The </w:t>
      </w:r>
      <w:r w:rsidR="005920F6">
        <w:rPr>
          <w:szCs w:val="16"/>
        </w:rPr>
        <w:t xml:space="preserve">opinion resulted from a question that arose related to FMCSA’s December 21 declaration that </w:t>
      </w:r>
      <w:r w:rsidR="005920F6" w:rsidRPr="005920F6">
        <w:rPr>
          <w:szCs w:val="16"/>
        </w:rPr>
        <w:t>that</w:t>
      </w:r>
      <w:r w:rsidR="005920F6">
        <w:rPr>
          <w:szCs w:val="16"/>
        </w:rPr>
        <w:t xml:space="preserve"> </w:t>
      </w:r>
      <w:r w:rsidR="005920F6" w:rsidRPr="005920F6">
        <w:rPr>
          <w:szCs w:val="16"/>
        </w:rPr>
        <w:t>California's meal and rest break rules are preempted under Section 31141 as applied to property-carrying commercial motor vehicle drivers covered by FMCSA</w:t>
      </w:r>
      <w:r w:rsidR="005920F6">
        <w:rPr>
          <w:szCs w:val="16"/>
        </w:rPr>
        <w:t>’s HOS regulations. (</w:t>
      </w:r>
      <w:r w:rsidR="005920F6" w:rsidRPr="005920F6">
        <w:rPr>
          <w:i/>
          <w:szCs w:val="16"/>
        </w:rPr>
        <w:t>See Regulatory Update, January 2019</w:t>
      </w:r>
      <w:r w:rsidR="005920F6">
        <w:rPr>
          <w:szCs w:val="16"/>
        </w:rPr>
        <w:t xml:space="preserve">.) However, on January 7, </w:t>
      </w:r>
      <w:r w:rsidR="005920F6" w:rsidRPr="005920F6">
        <w:rPr>
          <w:szCs w:val="16"/>
        </w:rPr>
        <w:t>an FMCSA attorney sent an email</w:t>
      </w:r>
      <w:r w:rsidR="005920F6">
        <w:rPr>
          <w:szCs w:val="16"/>
        </w:rPr>
        <w:t xml:space="preserve"> in response to </w:t>
      </w:r>
      <w:r w:rsidR="005920F6" w:rsidRPr="005920F6">
        <w:rPr>
          <w:szCs w:val="16"/>
        </w:rPr>
        <w:t>an inquiry from a private attorney</w:t>
      </w:r>
      <w:r w:rsidR="005920F6">
        <w:rPr>
          <w:szCs w:val="16"/>
        </w:rPr>
        <w:t xml:space="preserve"> stating that t</w:t>
      </w:r>
      <w:r w:rsidR="005920F6" w:rsidRPr="005920F6">
        <w:rPr>
          <w:szCs w:val="16"/>
        </w:rPr>
        <w:t>he FMCSA determination d</w:t>
      </w:r>
      <w:r w:rsidR="005920F6">
        <w:rPr>
          <w:szCs w:val="16"/>
        </w:rPr>
        <w:t xml:space="preserve">id not </w:t>
      </w:r>
      <w:r w:rsidR="005920F6" w:rsidRPr="005920F6">
        <w:rPr>
          <w:szCs w:val="16"/>
        </w:rPr>
        <w:t xml:space="preserve">have retroactive effect. </w:t>
      </w:r>
      <w:r w:rsidR="005920F6">
        <w:rPr>
          <w:szCs w:val="16"/>
        </w:rPr>
        <w:t>“</w:t>
      </w:r>
      <w:r w:rsidR="005920F6" w:rsidRPr="005920F6">
        <w:rPr>
          <w:szCs w:val="16"/>
        </w:rPr>
        <w:t>This statement, however, did not and does not represent the views of FMCSA</w:t>
      </w:r>
      <w:r w:rsidR="005920F6">
        <w:rPr>
          <w:szCs w:val="16"/>
        </w:rPr>
        <w:t>,” the opinion states. On January 18 the FMCSA attorney sent another email clarifying that the agency would be giving the retroactivity issue further consideration.</w:t>
      </w:r>
    </w:p>
    <w:p w14:paraId="2119EF66" w14:textId="0DA26FD3" w:rsidR="006A6B09" w:rsidRDefault="005920F6" w:rsidP="005920F6">
      <w:pPr>
        <w:ind w:firstLine="720"/>
        <w:rPr>
          <w:szCs w:val="16"/>
        </w:rPr>
      </w:pPr>
      <w:r>
        <w:rPr>
          <w:szCs w:val="16"/>
        </w:rPr>
        <w:t xml:space="preserve">For a copy of the FMCSA chief counsel office’s opinion, visit </w:t>
      </w:r>
      <w:hyperlink r:id="rId8" w:history="1">
        <w:r w:rsidRPr="003072AF">
          <w:rPr>
            <w:rStyle w:val="Hyperlink"/>
            <w:szCs w:val="16"/>
          </w:rPr>
          <w:t>https://www.fmcsa.dot.gov/safety/fmcsa-legal-opinion-applicability-preemption-determinations-pending-lawsuits</w:t>
        </w:r>
      </w:hyperlink>
      <w:r>
        <w:rPr>
          <w:szCs w:val="16"/>
        </w:rPr>
        <w:t>.</w:t>
      </w:r>
    </w:p>
    <w:p w14:paraId="0F7506BA" w14:textId="77777777" w:rsidR="006A6B09" w:rsidRDefault="006A6B09" w:rsidP="00493069">
      <w:pPr>
        <w:rPr>
          <w:szCs w:val="16"/>
        </w:rPr>
      </w:pPr>
    </w:p>
    <w:p w14:paraId="4F2A0900" w14:textId="6D282F50" w:rsidR="00BE3040" w:rsidRPr="00DF25A6" w:rsidRDefault="00DF25A6">
      <w:pPr>
        <w:rPr>
          <w:b/>
          <w:sz w:val="28"/>
          <w:szCs w:val="16"/>
        </w:rPr>
      </w:pPr>
      <w:bookmarkStart w:id="3" w:name="DOL"/>
      <w:bookmarkEnd w:id="3"/>
      <w:r>
        <w:rPr>
          <w:b/>
          <w:sz w:val="28"/>
          <w:szCs w:val="16"/>
        </w:rPr>
        <w:t>DOL</w:t>
      </w:r>
      <w:r w:rsidRPr="00DF25A6">
        <w:rPr>
          <w:b/>
          <w:sz w:val="28"/>
          <w:szCs w:val="16"/>
        </w:rPr>
        <w:t xml:space="preserve"> proposes to relax rules on treatment of certain employee payments</w:t>
      </w:r>
    </w:p>
    <w:p w14:paraId="62391B78" w14:textId="7B9F61BB" w:rsidR="00743947" w:rsidRDefault="00743947" w:rsidP="00743947">
      <w:pPr>
        <w:rPr>
          <w:sz w:val="24"/>
          <w:szCs w:val="16"/>
        </w:rPr>
      </w:pPr>
      <w:r w:rsidRPr="00743947">
        <w:rPr>
          <w:sz w:val="24"/>
          <w:szCs w:val="16"/>
        </w:rPr>
        <w:t xml:space="preserve">The U.S. Department of Labor </w:t>
      </w:r>
      <w:r w:rsidR="00932021">
        <w:rPr>
          <w:sz w:val="24"/>
          <w:szCs w:val="16"/>
        </w:rPr>
        <w:t xml:space="preserve">(DOL) </w:t>
      </w:r>
      <w:r w:rsidR="00DF25A6">
        <w:rPr>
          <w:sz w:val="24"/>
          <w:szCs w:val="16"/>
        </w:rPr>
        <w:t xml:space="preserve">in March </w:t>
      </w:r>
      <w:r w:rsidRPr="00743947">
        <w:rPr>
          <w:sz w:val="24"/>
          <w:szCs w:val="16"/>
        </w:rPr>
        <w:t xml:space="preserve">proposed to clarify and update the regulations governing </w:t>
      </w:r>
      <w:r w:rsidR="00932021">
        <w:rPr>
          <w:sz w:val="24"/>
          <w:szCs w:val="16"/>
        </w:rPr>
        <w:t>“</w:t>
      </w:r>
      <w:r w:rsidRPr="00743947">
        <w:rPr>
          <w:sz w:val="24"/>
          <w:szCs w:val="16"/>
        </w:rPr>
        <w:t>regular rate</w:t>
      </w:r>
      <w:r w:rsidR="00932021">
        <w:rPr>
          <w:sz w:val="24"/>
          <w:szCs w:val="16"/>
        </w:rPr>
        <w:t>”</w:t>
      </w:r>
      <w:r w:rsidRPr="00743947">
        <w:rPr>
          <w:sz w:val="24"/>
          <w:szCs w:val="16"/>
        </w:rPr>
        <w:t xml:space="preserve"> requirements</w:t>
      </w:r>
      <w:r w:rsidR="00932021">
        <w:rPr>
          <w:sz w:val="24"/>
          <w:szCs w:val="16"/>
        </w:rPr>
        <w:t xml:space="preserve">, which haven’t changed in more than </w:t>
      </w:r>
      <w:r w:rsidRPr="00743947">
        <w:rPr>
          <w:sz w:val="24"/>
          <w:szCs w:val="16"/>
        </w:rPr>
        <w:t>50 years.</w:t>
      </w:r>
      <w:r w:rsidR="00932021">
        <w:rPr>
          <w:sz w:val="24"/>
          <w:szCs w:val="16"/>
        </w:rPr>
        <w:t xml:space="preserve"> </w:t>
      </w:r>
      <w:r w:rsidRPr="00743947">
        <w:rPr>
          <w:sz w:val="24"/>
          <w:szCs w:val="16"/>
        </w:rPr>
        <w:t>Regular rate requirements define what forms of payment employers include and exclude in the "time and one-half" calculation when determining workers' overtime rates.</w:t>
      </w:r>
    </w:p>
    <w:p w14:paraId="5D3D0A0B" w14:textId="1031A57A" w:rsidR="00743947" w:rsidRPr="00743947" w:rsidRDefault="00932021" w:rsidP="00743947">
      <w:pPr>
        <w:rPr>
          <w:sz w:val="24"/>
          <w:szCs w:val="16"/>
        </w:rPr>
      </w:pPr>
      <w:r>
        <w:rPr>
          <w:sz w:val="24"/>
          <w:szCs w:val="16"/>
        </w:rPr>
        <w:tab/>
        <w:t xml:space="preserve">Current rules discourage employers from offering </w:t>
      </w:r>
      <w:r w:rsidR="00743947" w:rsidRPr="00743947">
        <w:rPr>
          <w:sz w:val="24"/>
          <w:szCs w:val="16"/>
        </w:rPr>
        <w:t xml:space="preserve">more perks to their employees as it may be unclear whether those perks must be included in the calculation of an employees' regular rate of pay.  The proposed rule focuses primarily on clarifying whether certain kinds of perks, benefits, or other miscellaneous items must be included in the regular rate. </w:t>
      </w:r>
      <w:r>
        <w:rPr>
          <w:sz w:val="24"/>
          <w:szCs w:val="16"/>
        </w:rPr>
        <w:t xml:space="preserve">DOL proposes to confirm that </w:t>
      </w:r>
      <w:r w:rsidR="00743947" w:rsidRPr="00743947">
        <w:rPr>
          <w:sz w:val="24"/>
          <w:szCs w:val="16"/>
        </w:rPr>
        <w:t>employers may exclude the following from an employee's regular rate of pay:</w:t>
      </w:r>
    </w:p>
    <w:p w14:paraId="51D91D91" w14:textId="60CCED66" w:rsidR="00743947" w:rsidRPr="00932021" w:rsidRDefault="00932021" w:rsidP="00932021">
      <w:pPr>
        <w:pStyle w:val="ListParagraph"/>
        <w:numPr>
          <w:ilvl w:val="0"/>
          <w:numId w:val="12"/>
        </w:numPr>
        <w:rPr>
          <w:sz w:val="24"/>
          <w:szCs w:val="16"/>
        </w:rPr>
      </w:pPr>
      <w:r w:rsidRPr="00932021">
        <w:rPr>
          <w:sz w:val="24"/>
          <w:szCs w:val="16"/>
        </w:rPr>
        <w:t>T</w:t>
      </w:r>
      <w:r w:rsidR="00743947" w:rsidRPr="00932021">
        <w:rPr>
          <w:sz w:val="24"/>
          <w:szCs w:val="16"/>
        </w:rPr>
        <w:t>he cost of providing wellness programs, onsite specialist treatment, gym access and fitness classes, and employee discounts on retail goods and services;</w:t>
      </w:r>
    </w:p>
    <w:p w14:paraId="1150357F" w14:textId="4562F78A" w:rsidR="00743947" w:rsidRPr="00932021" w:rsidRDefault="00932021" w:rsidP="00932021">
      <w:pPr>
        <w:pStyle w:val="ListParagraph"/>
        <w:numPr>
          <w:ilvl w:val="0"/>
          <w:numId w:val="12"/>
        </w:numPr>
        <w:rPr>
          <w:sz w:val="24"/>
          <w:szCs w:val="16"/>
        </w:rPr>
      </w:pPr>
      <w:r w:rsidRPr="00932021">
        <w:rPr>
          <w:sz w:val="24"/>
          <w:szCs w:val="16"/>
        </w:rPr>
        <w:t>P</w:t>
      </w:r>
      <w:r w:rsidR="00743947" w:rsidRPr="00932021">
        <w:rPr>
          <w:sz w:val="24"/>
          <w:szCs w:val="16"/>
        </w:rPr>
        <w:t>ayments for unused paid leave, including paid sick leave;</w:t>
      </w:r>
    </w:p>
    <w:p w14:paraId="4D20F93D" w14:textId="41D59A85" w:rsidR="00743947" w:rsidRPr="00932021" w:rsidRDefault="00932021" w:rsidP="00932021">
      <w:pPr>
        <w:pStyle w:val="ListParagraph"/>
        <w:numPr>
          <w:ilvl w:val="0"/>
          <w:numId w:val="12"/>
        </w:numPr>
        <w:rPr>
          <w:sz w:val="24"/>
          <w:szCs w:val="16"/>
        </w:rPr>
      </w:pPr>
      <w:r w:rsidRPr="00932021">
        <w:rPr>
          <w:sz w:val="24"/>
          <w:szCs w:val="16"/>
        </w:rPr>
        <w:t>R</w:t>
      </w:r>
      <w:r w:rsidR="00743947" w:rsidRPr="00932021">
        <w:rPr>
          <w:sz w:val="24"/>
          <w:szCs w:val="16"/>
        </w:rPr>
        <w:t>eimbursed expenses, even if not incurred "solely" for the employer's benefit;</w:t>
      </w:r>
    </w:p>
    <w:p w14:paraId="05068A88" w14:textId="1E697E48" w:rsidR="00743947" w:rsidRPr="00932021" w:rsidRDefault="00932021" w:rsidP="00932021">
      <w:pPr>
        <w:pStyle w:val="ListParagraph"/>
        <w:numPr>
          <w:ilvl w:val="0"/>
          <w:numId w:val="12"/>
        </w:numPr>
        <w:rPr>
          <w:sz w:val="24"/>
          <w:szCs w:val="16"/>
        </w:rPr>
      </w:pPr>
      <w:r w:rsidRPr="00932021">
        <w:rPr>
          <w:sz w:val="24"/>
          <w:szCs w:val="16"/>
        </w:rPr>
        <w:lastRenderedPageBreak/>
        <w:t>R</w:t>
      </w:r>
      <w:r w:rsidR="00743947" w:rsidRPr="00932021">
        <w:rPr>
          <w:sz w:val="24"/>
          <w:szCs w:val="16"/>
        </w:rPr>
        <w:t>eimbursed travel expenses that do not exceed the maximum travel reimbursement under the Federal Travel Regulation System and that satisfy other regulatory requirements;</w:t>
      </w:r>
    </w:p>
    <w:p w14:paraId="66FD3010" w14:textId="340FAFC8" w:rsidR="00743947" w:rsidRPr="00932021" w:rsidRDefault="00932021" w:rsidP="00932021">
      <w:pPr>
        <w:pStyle w:val="ListParagraph"/>
        <w:numPr>
          <w:ilvl w:val="0"/>
          <w:numId w:val="12"/>
        </w:numPr>
        <w:rPr>
          <w:sz w:val="24"/>
          <w:szCs w:val="16"/>
        </w:rPr>
      </w:pPr>
      <w:r w:rsidRPr="00932021">
        <w:rPr>
          <w:sz w:val="24"/>
          <w:szCs w:val="16"/>
        </w:rPr>
        <w:t>D</w:t>
      </w:r>
      <w:r w:rsidR="00743947" w:rsidRPr="00932021">
        <w:rPr>
          <w:sz w:val="24"/>
          <w:szCs w:val="16"/>
        </w:rPr>
        <w:t>iscretionary bonuses, by providing additional examples and clarifying that the label given a bonus does not determine whether it is discretionary;</w:t>
      </w:r>
    </w:p>
    <w:p w14:paraId="1A29B98B" w14:textId="5B887D5B" w:rsidR="00743947" w:rsidRPr="00932021" w:rsidRDefault="00932021" w:rsidP="00932021">
      <w:pPr>
        <w:pStyle w:val="ListParagraph"/>
        <w:numPr>
          <w:ilvl w:val="0"/>
          <w:numId w:val="12"/>
        </w:numPr>
        <w:rPr>
          <w:sz w:val="24"/>
          <w:szCs w:val="16"/>
        </w:rPr>
      </w:pPr>
      <w:r w:rsidRPr="00932021">
        <w:rPr>
          <w:sz w:val="24"/>
          <w:szCs w:val="16"/>
        </w:rPr>
        <w:t>B</w:t>
      </w:r>
      <w:r w:rsidR="00743947" w:rsidRPr="00932021">
        <w:rPr>
          <w:sz w:val="24"/>
          <w:szCs w:val="16"/>
        </w:rPr>
        <w:t>enefit plans, including accident, unemployment, and legal services; and</w:t>
      </w:r>
    </w:p>
    <w:p w14:paraId="4DBFDA45" w14:textId="4C5B042B" w:rsidR="00743947" w:rsidRPr="00932021" w:rsidRDefault="00932021" w:rsidP="00932021">
      <w:pPr>
        <w:pStyle w:val="ListParagraph"/>
        <w:numPr>
          <w:ilvl w:val="0"/>
          <w:numId w:val="12"/>
        </w:numPr>
        <w:rPr>
          <w:sz w:val="24"/>
          <w:szCs w:val="16"/>
        </w:rPr>
      </w:pPr>
      <w:r w:rsidRPr="00932021">
        <w:rPr>
          <w:sz w:val="24"/>
          <w:szCs w:val="16"/>
        </w:rPr>
        <w:t>T</w:t>
      </w:r>
      <w:r w:rsidR="00743947" w:rsidRPr="00932021">
        <w:rPr>
          <w:sz w:val="24"/>
          <w:szCs w:val="16"/>
        </w:rPr>
        <w:t>uition programs, such as reimbursement programs or repayment of educational debt.</w:t>
      </w:r>
    </w:p>
    <w:p w14:paraId="54255B90" w14:textId="5ABBC2C1" w:rsidR="00743947" w:rsidRPr="00743947" w:rsidRDefault="00743947" w:rsidP="00932021">
      <w:pPr>
        <w:ind w:firstLine="360"/>
        <w:rPr>
          <w:sz w:val="24"/>
          <w:szCs w:val="16"/>
        </w:rPr>
      </w:pPr>
      <w:r w:rsidRPr="00743947">
        <w:rPr>
          <w:sz w:val="24"/>
          <w:szCs w:val="16"/>
        </w:rPr>
        <w:t>The proposed rule also includes additional clarification about other forms of compensation, including payment for meal periods, "call back" pay, and others.</w:t>
      </w:r>
    </w:p>
    <w:p w14:paraId="491918E4" w14:textId="2DBA4D7C" w:rsidR="000807C1" w:rsidRDefault="00DF25A6" w:rsidP="00932021">
      <w:pPr>
        <w:ind w:firstLine="360"/>
        <w:rPr>
          <w:sz w:val="24"/>
          <w:szCs w:val="16"/>
        </w:rPr>
      </w:pPr>
      <w:r>
        <w:rPr>
          <w:sz w:val="24"/>
          <w:szCs w:val="16"/>
        </w:rPr>
        <w:t xml:space="preserve">Comments on the proposal, which was published in the March 29 Federal Register, are due May 28. For the Federal Register notice, visit </w:t>
      </w:r>
      <w:hyperlink r:id="rId9" w:history="1">
        <w:r w:rsidRPr="003072AF">
          <w:rPr>
            <w:rStyle w:val="Hyperlink"/>
            <w:sz w:val="24"/>
            <w:szCs w:val="16"/>
          </w:rPr>
          <w:t>https://www.federalregister.gov/d/2019-05687</w:t>
        </w:r>
      </w:hyperlink>
      <w:r>
        <w:rPr>
          <w:sz w:val="24"/>
          <w:szCs w:val="16"/>
        </w:rPr>
        <w:t xml:space="preserve">. For more information, visit </w:t>
      </w:r>
      <w:hyperlink r:id="rId10" w:history="1">
        <w:r w:rsidRPr="003072AF">
          <w:rPr>
            <w:rStyle w:val="Hyperlink"/>
            <w:sz w:val="24"/>
            <w:szCs w:val="16"/>
          </w:rPr>
          <w:t>www.dol.gov/whd/overtime/regularrate2019.htm</w:t>
        </w:r>
      </w:hyperlink>
      <w:r w:rsidR="00743947" w:rsidRPr="00743947">
        <w:rPr>
          <w:sz w:val="24"/>
          <w:szCs w:val="16"/>
        </w:rPr>
        <w:t>.</w:t>
      </w:r>
    </w:p>
    <w:p w14:paraId="69E267F0" w14:textId="6F30B563" w:rsidR="00DF25A6" w:rsidRDefault="00DF25A6" w:rsidP="00743947">
      <w:pPr>
        <w:rPr>
          <w:sz w:val="24"/>
          <w:szCs w:val="16"/>
        </w:rPr>
      </w:pPr>
    </w:p>
    <w:p w14:paraId="2F507F29" w14:textId="77777777" w:rsidR="00765413" w:rsidRPr="00765413" w:rsidRDefault="00765413" w:rsidP="00765413">
      <w:pPr>
        <w:rPr>
          <w:b/>
          <w:sz w:val="28"/>
          <w:szCs w:val="16"/>
        </w:rPr>
      </w:pPr>
      <w:bookmarkStart w:id="4" w:name="Waste"/>
      <w:bookmarkEnd w:id="4"/>
      <w:r w:rsidRPr="00765413">
        <w:rPr>
          <w:b/>
          <w:sz w:val="28"/>
          <w:szCs w:val="16"/>
        </w:rPr>
        <w:t>Waste haulers seek relief from 12-hour return requirement</w:t>
      </w:r>
    </w:p>
    <w:p w14:paraId="3AAB7B12" w14:textId="5C1E08BB" w:rsidR="005E35C2" w:rsidRDefault="00765413" w:rsidP="00765413">
      <w:pPr>
        <w:rPr>
          <w:sz w:val="24"/>
          <w:szCs w:val="16"/>
        </w:rPr>
      </w:pPr>
      <w:r w:rsidRPr="00765413">
        <w:rPr>
          <w:sz w:val="24"/>
          <w:szCs w:val="16"/>
        </w:rPr>
        <w:t xml:space="preserve">FMCSA is requesting comments until April 29 on an application from the National Waste &amp; Recycling Association (NWRA) for an exemption from one of the criteria for using the “short-haul—100 air-mile radius driver” exception to the requirement for the preparation and retention of records of duty status. NWRA asks that all short-haul commercial motor vehicle (CMV) drivers in the waste and recycling industry be allowed up to 14 hours (instead of the current 12 hours) to return to the original work reporting location without losing their short-haul status. For a copy of the Federal Register notice, visit </w:t>
      </w:r>
      <w:hyperlink r:id="rId11" w:history="1">
        <w:r w:rsidRPr="003072AF">
          <w:rPr>
            <w:rStyle w:val="Hyperlink"/>
            <w:sz w:val="24"/>
            <w:szCs w:val="16"/>
          </w:rPr>
          <w:t>https://www.federalregister.gov/d/2019-06094</w:t>
        </w:r>
      </w:hyperlink>
      <w:r>
        <w:rPr>
          <w:sz w:val="24"/>
          <w:szCs w:val="16"/>
        </w:rPr>
        <w:t>.</w:t>
      </w:r>
    </w:p>
    <w:p w14:paraId="2C18DFA3" w14:textId="77777777" w:rsidR="005E35C2" w:rsidRPr="00C163B1" w:rsidRDefault="005E35C2" w:rsidP="00743947">
      <w:pPr>
        <w:rPr>
          <w:sz w:val="24"/>
          <w:szCs w:val="16"/>
        </w:rPr>
      </w:pPr>
    </w:p>
    <w:p w14:paraId="2BF4305E" w14:textId="4A9ABFAA" w:rsidR="00493069" w:rsidRPr="00493069" w:rsidRDefault="005A3D7C" w:rsidP="000807C1">
      <w:pPr>
        <w:rPr>
          <w:b/>
          <w:sz w:val="28"/>
          <w:szCs w:val="16"/>
        </w:rPr>
      </w:pPr>
      <w:bookmarkStart w:id="5" w:name="Rail"/>
      <w:bookmarkStart w:id="6" w:name="Helicopter"/>
      <w:bookmarkEnd w:id="5"/>
      <w:bookmarkEnd w:id="6"/>
      <w:r>
        <w:rPr>
          <w:b/>
          <w:sz w:val="28"/>
          <w:szCs w:val="16"/>
        </w:rPr>
        <w:t>Helicopter firm seeks HOS relief for ground support drivers</w:t>
      </w:r>
      <w:r w:rsidR="006A6B09">
        <w:rPr>
          <w:b/>
          <w:sz w:val="28"/>
          <w:szCs w:val="16"/>
        </w:rPr>
        <w:t xml:space="preserve"> </w:t>
      </w:r>
    </w:p>
    <w:p w14:paraId="26F33012" w14:textId="19B91B32" w:rsidR="00493069" w:rsidRDefault="00DB1C5E" w:rsidP="00DB1C5E">
      <w:pPr>
        <w:rPr>
          <w:szCs w:val="16"/>
        </w:rPr>
      </w:pPr>
      <w:r w:rsidRPr="00DB1C5E">
        <w:rPr>
          <w:szCs w:val="16"/>
        </w:rPr>
        <w:t xml:space="preserve">FMCSA </w:t>
      </w:r>
      <w:r>
        <w:rPr>
          <w:szCs w:val="16"/>
        </w:rPr>
        <w:t>is requesting comments by April 29 on a</w:t>
      </w:r>
      <w:r w:rsidR="007319F4">
        <w:rPr>
          <w:szCs w:val="16"/>
        </w:rPr>
        <w:t xml:space="preserve"> request from </w:t>
      </w:r>
      <w:r w:rsidRPr="00DB1C5E">
        <w:rPr>
          <w:szCs w:val="16"/>
        </w:rPr>
        <w:t xml:space="preserve">PJ Helicopters, Inc. (PJH) </w:t>
      </w:r>
      <w:r w:rsidR="007319F4">
        <w:rPr>
          <w:szCs w:val="16"/>
        </w:rPr>
        <w:t xml:space="preserve">for an exemption from </w:t>
      </w:r>
      <w:r w:rsidRPr="00DB1C5E">
        <w:rPr>
          <w:szCs w:val="16"/>
        </w:rPr>
        <w:t>two provisi</w:t>
      </w:r>
      <w:r w:rsidR="007319F4">
        <w:rPr>
          <w:szCs w:val="16"/>
        </w:rPr>
        <w:t xml:space="preserve">ons of the </w:t>
      </w:r>
      <w:r w:rsidRPr="00DB1C5E">
        <w:rPr>
          <w:szCs w:val="16"/>
        </w:rPr>
        <w:t>HOS</w:t>
      </w:r>
      <w:r w:rsidR="007319F4">
        <w:rPr>
          <w:szCs w:val="16"/>
        </w:rPr>
        <w:t xml:space="preserve"> </w:t>
      </w:r>
      <w:r w:rsidRPr="00DB1C5E">
        <w:rPr>
          <w:szCs w:val="16"/>
        </w:rPr>
        <w:t>regulations for its ground support equipment operators</w:t>
      </w:r>
      <w:r w:rsidR="007319F4">
        <w:rPr>
          <w:szCs w:val="16"/>
        </w:rPr>
        <w:t xml:space="preserve"> during times when drivers are responding to or returning from active incidents as requested by an officer of a public agency or utility</w:t>
      </w:r>
      <w:r w:rsidRPr="00DB1C5E">
        <w:rPr>
          <w:szCs w:val="16"/>
        </w:rPr>
        <w:t xml:space="preserve">. PJH requested relief from the 14-hour rule and the requirement that drivers have 10 consecutive hours off-duty at the end of the work shift. </w:t>
      </w:r>
      <w:r w:rsidR="005A3D7C">
        <w:rPr>
          <w:szCs w:val="16"/>
        </w:rPr>
        <w:t xml:space="preserve">For a copy of the Federal </w:t>
      </w:r>
      <w:r w:rsidR="007319F4">
        <w:rPr>
          <w:szCs w:val="16"/>
        </w:rPr>
        <w:t xml:space="preserve">Register notice, </w:t>
      </w:r>
      <w:r w:rsidR="006A6B09">
        <w:rPr>
          <w:szCs w:val="16"/>
        </w:rPr>
        <w:t xml:space="preserve">visit </w:t>
      </w:r>
      <w:hyperlink r:id="rId12" w:history="1">
        <w:r w:rsidR="007319F4" w:rsidRPr="003072AF">
          <w:rPr>
            <w:rStyle w:val="Hyperlink"/>
            <w:szCs w:val="16"/>
          </w:rPr>
          <w:t>https://www.federalregister.gov/d/2019-06097</w:t>
        </w:r>
      </w:hyperlink>
      <w:r w:rsidR="007319F4">
        <w:rPr>
          <w:szCs w:val="16"/>
        </w:rPr>
        <w:t>.</w:t>
      </w:r>
    </w:p>
    <w:p w14:paraId="6D54FA45" w14:textId="7012103D" w:rsidR="00AB594D" w:rsidRDefault="00AB594D" w:rsidP="00DB1C5E">
      <w:pPr>
        <w:rPr>
          <w:szCs w:val="16"/>
        </w:rPr>
      </w:pPr>
    </w:p>
    <w:p w14:paraId="755351FB" w14:textId="77777777" w:rsidR="00AB594D" w:rsidRPr="00AB594D" w:rsidRDefault="00AB594D" w:rsidP="00AB594D">
      <w:pPr>
        <w:rPr>
          <w:b/>
          <w:sz w:val="28"/>
          <w:szCs w:val="16"/>
        </w:rPr>
      </w:pPr>
      <w:bookmarkStart w:id="7" w:name="Laydon"/>
      <w:bookmarkEnd w:id="7"/>
      <w:r w:rsidRPr="00AB594D">
        <w:rPr>
          <w:b/>
          <w:sz w:val="28"/>
          <w:szCs w:val="16"/>
        </w:rPr>
        <w:t>Aerodynamic device supplier seeks relief on rear lighting rules</w:t>
      </w:r>
    </w:p>
    <w:p w14:paraId="0005F903" w14:textId="531E6F05" w:rsidR="00AB594D" w:rsidRDefault="00AB594D" w:rsidP="00AB594D">
      <w:pPr>
        <w:rPr>
          <w:szCs w:val="16"/>
        </w:rPr>
      </w:pPr>
      <w:r w:rsidRPr="00AB594D">
        <w:rPr>
          <w:szCs w:val="16"/>
        </w:rPr>
        <w:t xml:space="preserve">FMCSA requests comments by April 29 on an application from Laydon Composites Ltd. for an exemption to allow motor carriers to operate CMVs that are equipped with Laydon's OptiTailTM aerodynamic device with rear identification lamps and rear clearance lamps that are mounted lower than currently permitted by the agency's regulations. Current regulations prevent the OptiTailTM aerodynamic device from being mounted flush with the top of the vehicle, thereby reducing its fuel economy benefit, Laydon said. For a copy of the Federal Register notice, visit </w:t>
      </w:r>
      <w:hyperlink r:id="rId13" w:history="1">
        <w:r w:rsidRPr="003072AF">
          <w:rPr>
            <w:rStyle w:val="Hyperlink"/>
            <w:szCs w:val="16"/>
          </w:rPr>
          <w:t>https://www.federalregister.gov/d/2019-05946</w:t>
        </w:r>
      </w:hyperlink>
      <w:r w:rsidRPr="00AB594D">
        <w:rPr>
          <w:szCs w:val="16"/>
        </w:rPr>
        <w:t>.</w:t>
      </w:r>
    </w:p>
    <w:p w14:paraId="68CE29FC" w14:textId="73A545BE" w:rsidR="008176D2" w:rsidRDefault="008176D2" w:rsidP="000807C1">
      <w:pPr>
        <w:rPr>
          <w:szCs w:val="16"/>
        </w:rPr>
      </w:pPr>
    </w:p>
    <w:p w14:paraId="1930BEC6" w14:textId="77777777" w:rsidR="000B7362" w:rsidRPr="000B7362" w:rsidRDefault="000B7362" w:rsidP="000B7362">
      <w:pPr>
        <w:rPr>
          <w:b/>
          <w:sz w:val="28"/>
          <w:szCs w:val="16"/>
        </w:rPr>
      </w:pPr>
      <w:bookmarkStart w:id="8" w:name="Gravity"/>
      <w:bookmarkEnd w:id="8"/>
      <w:r w:rsidRPr="000B7362">
        <w:rPr>
          <w:b/>
          <w:sz w:val="28"/>
          <w:szCs w:val="16"/>
        </w:rPr>
        <w:t>Firm seeks exemption regarding fueling of auxiliary equipment</w:t>
      </w:r>
    </w:p>
    <w:p w14:paraId="26719012" w14:textId="7AFA077C" w:rsidR="000B7362" w:rsidRDefault="000B7362" w:rsidP="000B7362">
      <w:pPr>
        <w:rPr>
          <w:szCs w:val="16"/>
        </w:rPr>
      </w:pPr>
      <w:r w:rsidRPr="000B7362">
        <w:rPr>
          <w:szCs w:val="16"/>
        </w:rPr>
        <w:t xml:space="preserve">FMCSA requests by April 29 on Charles Machine Works, Inc.'s (CMW) application for an exemption from the agency's prohibition against the use of gravity or syphon-fed fuel systems for auxiliary equipment installed on or used in connection with CMVs. CMW believes that the use of gravity or syphon-fed fuel systems for auxiliary equipment that operates only when the CMV is parked </w:t>
      </w:r>
      <w:r w:rsidR="00335459">
        <w:rPr>
          <w:szCs w:val="16"/>
        </w:rPr>
        <w:t xml:space="preserve">is </w:t>
      </w:r>
      <w:proofErr w:type="gramStart"/>
      <w:r w:rsidR="00335459">
        <w:rPr>
          <w:szCs w:val="16"/>
        </w:rPr>
        <w:t>sufficient</w:t>
      </w:r>
      <w:proofErr w:type="gramEnd"/>
      <w:r w:rsidR="00335459">
        <w:rPr>
          <w:szCs w:val="16"/>
        </w:rPr>
        <w:t xml:space="preserve">. </w:t>
      </w:r>
      <w:r w:rsidRPr="000B7362">
        <w:rPr>
          <w:szCs w:val="16"/>
        </w:rPr>
        <w:t xml:space="preserve">For the Federal Register notice, visit </w:t>
      </w:r>
      <w:hyperlink r:id="rId14" w:history="1">
        <w:r w:rsidRPr="003072AF">
          <w:rPr>
            <w:rStyle w:val="Hyperlink"/>
            <w:szCs w:val="16"/>
          </w:rPr>
          <w:t>https://www.federalregister.gov/d/2019-05952</w:t>
        </w:r>
      </w:hyperlink>
      <w:r w:rsidRPr="000B7362">
        <w:rPr>
          <w:szCs w:val="16"/>
        </w:rPr>
        <w:t>.</w:t>
      </w:r>
    </w:p>
    <w:p w14:paraId="1D918B9A" w14:textId="77777777" w:rsidR="000B7362" w:rsidRDefault="000B7362" w:rsidP="000807C1">
      <w:pPr>
        <w:rPr>
          <w:szCs w:val="16"/>
        </w:rPr>
      </w:pPr>
    </w:p>
    <w:p w14:paraId="108B7842" w14:textId="77777777" w:rsidR="00E83FE7" w:rsidRDefault="00E83FE7" w:rsidP="008176D2">
      <w:pPr>
        <w:rPr>
          <w:b/>
          <w:sz w:val="28"/>
          <w:szCs w:val="16"/>
        </w:rPr>
      </w:pPr>
      <w:bookmarkStart w:id="9" w:name="CVSA"/>
      <w:bookmarkEnd w:id="9"/>
    </w:p>
    <w:p w14:paraId="14A99A11" w14:textId="3C2C74D9" w:rsidR="008176D2" w:rsidRPr="008176D2" w:rsidRDefault="008176D2" w:rsidP="008176D2">
      <w:pPr>
        <w:rPr>
          <w:b/>
          <w:sz w:val="28"/>
          <w:szCs w:val="16"/>
        </w:rPr>
      </w:pPr>
      <w:r w:rsidRPr="008176D2">
        <w:rPr>
          <w:b/>
          <w:sz w:val="28"/>
          <w:szCs w:val="16"/>
        </w:rPr>
        <w:lastRenderedPageBreak/>
        <w:t>CVSA’s International Roadcheck scheduled for June 4-6</w:t>
      </w:r>
    </w:p>
    <w:p w14:paraId="57A77C43" w14:textId="340DF246" w:rsidR="007A5CA3" w:rsidRDefault="008176D2" w:rsidP="007A5CA3">
      <w:pPr>
        <w:rPr>
          <w:szCs w:val="16"/>
        </w:rPr>
      </w:pPr>
      <w:r w:rsidRPr="008176D2">
        <w:rPr>
          <w:szCs w:val="16"/>
        </w:rPr>
        <w:t xml:space="preserve">The Commercial Vehicle Safety Alliance announced that its annual International Roadcheck even will take place June 4-6. The 72-hour period of special scrutiny in commercial motor vehicle inspections this year will emphasize violations concerning steering and suspension systems. During International Roadcheck, CVSA-certified inspectors will primarily conduct the North American Standard Level I Inspection, a 37-step procedure that includes an examination of driver operating requirements and vehicle mechanical fitness. </w:t>
      </w:r>
      <w:r w:rsidR="00335459">
        <w:rPr>
          <w:szCs w:val="16"/>
        </w:rPr>
        <w:t>However, i</w:t>
      </w:r>
      <w:r w:rsidRPr="008176D2">
        <w:rPr>
          <w:szCs w:val="16"/>
        </w:rPr>
        <w:t xml:space="preserve">nspectors may opt to conduct </w:t>
      </w:r>
      <w:r w:rsidR="00335459">
        <w:rPr>
          <w:szCs w:val="16"/>
        </w:rPr>
        <w:t>other types of inspections.</w:t>
      </w:r>
    </w:p>
    <w:p w14:paraId="546010DB" w14:textId="49F312AE" w:rsidR="007A5CA3" w:rsidRDefault="007A5CA3" w:rsidP="007A5CA3">
      <w:pPr>
        <w:rPr>
          <w:szCs w:val="16"/>
        </w:rPr>
      </w:pPr>
    </w:p>
    <w:p w14:paraId="047395DA" w14:textId="0D206F09" w:rsidR="007A5CA3" w:rsidRDefault="00872455" w:rsidP="007A5CA3">
      <w:pPr>
        <w:rPr>
          <w:szCs w:val="16"/>
        </w:rPr>
      </w:pPr>
      <w:r w:rsidRPr="00692354">
        <w:rPr>
          <w:b/>
          <w:noProof/>
          <w:sz w:val="32"/>
          <w:szCs w:val="32"/>
        </w:rPr>
        <mc:AlternateContent>
          <mc:Choice Requires="wps">
            <w:drawing>
              <wp:anchor distT="45720" distB="45720" distL="114300" distR="114300" simplePos="0" relativeHeight="251663360" behindDoc="1" locked="0" layoutInCell="1" allowOverlap="1" wp14:anchorId="2E22EC2C" wp14:editId="7B75F710">
                <wp:simplePos x="0" y="0"/>
                <wp:positionH relativeFrom="margin">
                  <wp:posOffset>0</wp:posOffset>
                </wp:positionH>
                <wp:positionV relativeFrom="paragraph">
                  <wp:posOffset>123190</wp:posOffset>
                </wp:positionV>
                <wp:extent cx="793750" cy="1404620"/>
                <wp:effectExtent l="0" t="0" r="254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4620"/>
                        </a:xfrm>
                        <a:prstGeom prst="rect">
                          <a:avLst/>
                        </a:prstGeom>
                        <a:solidFill>
                          <a:schemeClr val="bg1">
                            <a:lumMod val="50000"/>
                          </a:schemeClr>
                        </a:solidFill>
                        <a:ln w="9525">
                          <a:solidFill>
                            <a:srgbClr val="000000"/>
                          </a:solidFill>
                          <a:miter lim="800000"/>
                          <a:headEnd/>
                          <a:tailEnd/>
                        </a:ln>
                      </wps:spPr>
                      <wps:txbx>
                        <w:txbxContent>
                          <w:p w14:paraId="23374DF9" w14:textId="54D7675D" w:rsidR="007A5CA3" w:rsidRPr="00692354" w:rsidRDefault="007A5CA3" w:rsidP="007A5CA3">
                            <w:pPr>
                              <w:rPr>
                                <w:b/>
                                <w:color w:val="FFFFFF" w:themeColor="background1"/>
                                <w:sz w:val="32"/>
                                <w:szCs w:val="32"/>
                              </w:rPr>
                            </w:pPr>
                            <w:r>
                              <w:rPr>
                                <w:b/>
                                <w:color w:val="FFFFFF" w:themeColor="background1"/>
                                <w:sz w:val="32"/>
                                <w:szCs w:val="32"/>
                              </w:rPr>
                              <w:t>Courts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2EC2C" id="Text Box 1" o:spid="_x0000_s1027" type="#_x0000_t202" style="position:absolute;margin-left:0;margin-top:9.7pt;width:62.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" fillcolor="#7f7f7f [1612]">
                <v:textbox style="mso-fit-shape-to-text:t">
                  <w:txbxContent>
                    <w:p w14:paraId="23374DF9" w14:textId="54D7675D" w:rsidR="007A5CA3" w:rsidRPr="00692354" w:rsidRDefault="007A5CA3" w:rsidP="007A5CA3">
                      <w:pPr>
                        <w:rPr>
                          <w:b/>
                          <w:color w:val="FFFFFF" w:themeColor="background1"/>
                          <w:sz w:val="32"/>
                          <w:szCs w:val="32"/>
                        </w:rPr>
                      </w:pPr>
                      <w:r>
                        <w:rPr>
                          <w:b/>
                          <w:color w:val="FFFFFF" w:themeColor="background1"/>
                          <w:sz w:val="32"/>
                          <w:szCs w:val="32"/>
                        </w:rPr>
                        <w:t>Courts</w:t>
                      </w:r>
                    </w:p>
                  </w:txbxContent>
                </v:textbox>
                <w10:wrap anchorx="margin"/>
              </v:shape>
            </w:pict>
          </mc:Fallback>
        </mc:AlternateContent>
      </w:r>
    </w:p>
    <w:p w14:paraId="61487C13" w14:textId="77777777" w:rsidR="007A5CA3" w:rsidRDefault="007A5CA3" w:rsidP="007A5CA3">
      <w:pPr>
        <w:rPr>
          <w:szCs w:val="16"/>
        </w:rPr>
      </w:pPr>
    </w:p>
    <w:p w14:paraId="34CCC15D" w14:textId="34B13297" w:rsidR="007A5CA3" w:rsidRDefault="007A5CA3" w:rsidP="007A5CA3">
      <w:pPr>
        <w:rPr>
          <w:szCs w:val="16"/>
        </w:rPr>
      </w:pPr>
    </w:p>
    <w:p w14:paraId="36B9E5ED" w14:textId="77777777" w:rsidR="00872455" w:rsidRDefault="00872455" w:rsidP="00686961">
      <w:pPr>
        <w:rPr>
          <w:b/>
          <w:sz w:val="28"/>
          <w:szCs w:val="16"/>
        </w:rPr>
      </w:pPr>
      <w:bookmarkStart w:id="10" w:name="Dynamex"/>
      <w:bookmarkStart w:id="11" w:name="_Hlk5332064"/>
      <w:bookmarkEnd w:id="10"/>
    </w:p>
    <w:p w14:paraId="73ADB4AF" w14:textId="00D6424B" w:rsidR="00686961" w:rsidRPr="0062102A" w:rsidRDefault="00686961" w:rsidP="00686961">
      <w:pPr>
        <w:rPr>
          <w:b/>
          <w:szCs w:val="16"/>
        </w:rPr>
      </w:pPr>
      <w:r w:rsidRPr="0062102A">
        <w:rPr>
          <w:b/>
          <w:sz w:val="28"/>
          <w:szCs w:val="16"/>
        </w:rPr>
        <w:t>Federal court dismisses WSTA challenge to California Dynamex ruling</w:t>
      </w:r>
    </w:p>
    <w:bookmarkEnd w:id="11"/>
    <w:p w14:paraId="69F9856C" w14:textId="77777777" w:rsidR="00686961" w:rsidRDefault="00686961" w:rsidP="00686961">
      <w:pPr>
        <w:rPr>
          <w:szCs w:val="16"/>
        </w:rPr>
      </w:pPr>
      <w:r>
        <w:rPr>
          <w:szCs w:val="16"/>
        </w:rPr>
        <w:t xml:space="preserve">U.S. District Judge Morrison England on March 29 dismissed a challenge to California Supreme Court’s 2018 ruling in the Dynamex case in which the state court had upheld a difficult ABC test for determining whether owner-operators are considered employees under the state’s wage orders. The Western States Trucking Association (WSTA) had challenged the decision, arguing that </w:t>
      </w:r>
      <w:r w:rsidRPr="0062102A">
        <w:rPr>
          <w:szCs w:val="16"/>
        </w:rPr>
        <w:t>the Federal Aviation Administration Authorization Act (F</w:t>
      </w:r>
      <w:r>
        <w:rPr>
          <w:szCs w:val="16"/>
        </w:rPr>
        <w:t>AAA</w:t>
      </w:r>
      <w:r w:rsidRPr="0062102A">
        <w:rPr>
          <w:szCs w:val="16"/>
        </w:rPr>
        <w:t>A) preempt</w:t>
      </w:r>
      <w:r>
        <w:rPr>
          <w:szCs w:val="16"/>
        </w:rPr>
        <w:t>s</w:t>
      </w:r>
      <w:r w:rsidRPr="0062102A">
        <w:rPr>
          <w:szCs w:val="16"/>
        </w:rPr>
        <w:t xml:space="preserve"> the application of the Dynamex </w:t>
      </w:r>
      <w:r>
        <w:rPr>
          <w:szCs w:val="16"/>
        </w:rPr>
        <w:t>test. Judge England ruled that the general application of the term “employ” as used in the Dynamex case “</w:t>
      </w:r>
      <w:r w:rsidRPr="0062102A">
        <w:rPr>
          <w:szCs w:val="16"/>
        </w:rPr>
        <w:t>does not run afoul of the FAAAA simply because that interpretation may have some effect on transportation services.”</w:t>
      </w:r>
      <w:r>
        <w:rPr>
          <w:szCs w:val="16"/>
        </w:rPr>
        <w:t xml:space="preserve"> He concluded that any impact on carrier rates, routes, and services was indirect.</w:t>
      </w:r>
    </w:p>
    <w:p w14:paraId="24807726" w14:textId="77777777" w:rsidR="00686961" w:rsidRPr="00C624D0" w:rsidRDefault="00686961" w:rsidP="00686961">
      <w:pPr>
        <w:rPr>
          <w:szCs w:val="16"/>
        </w:rPr>
      </w:pPr>
      <w:r>
        <w:rPr>
          <w:szCs w:val="16"/>
        </w:rPr>
        <w:tab/>
        <w:t>In response, WSTA said that the ruling sets up an appeal over the question of federal preemption of Dynamex and over how a trucking company can use independent contractors without violating the ABC test.  “</w:t>
      </w:r>
      <w:r w:rsidRPr="00C624D0">
        <w:rPr>
          <w:szCs w:val="16"/>
        </w:rPr>
        <w:t>There were no factual deficiencies in our complaint</w:t>
      </w:r>
      <w:r>
        <w:rPr>
          <w:szCs w:val="16"/>
        </w:rPr>
        <w:t>,” WSTA said. “</w:t>
      </w:r>
      <w:r w:rsidRPr="00C624D0">
        <w:rPr>
          <w:szCs w:val="16"/>
        </w:rPr>
        <w:t>We believe that recent Ninth Circuit decisions postdating the filing of our complaint gave us an opening for that court to reevaluate prior Ninth Circuit decisions regarding F4A preemption. While the judge felt constrained by prior Ninth Circuit precedent (such as Dilts v. Penske) we are looking forward to our legal arguments being heard on appeal.</w:t>
      </w:r>
      <w:r>
        <w:rPr>
          <w:szCs w:val="16"/>
        </w:rPr>
        <w:t>”</w:t>
      </w:r>
    </w:p>
    <w:p w14:paraId="6F67AA65" w14:textId="5B69F707" w:rsidR="00686961" w:rsidRDefault="00686961" w:rsidP="00686961">
      <w:pPr>
        <w:ind w:firstLine="720"/>
        <w:rPr>
          <w:szCs w:val="16"/>
        </w:rPr>
      </w:pPr>
      <w:r>
        <w:rPr>
          <w:szCs w:val="16"/>
        </w:rPr>
        <w:t xml:space="preserve">A copy of the March 29 decision is available on the WSTA website at </w:t>
      </w:r>
      <w:hyperlink r:id="rId15" w:history="1">
        <w:r w:rsidRPr="003072AF">
          <w:rPr>
            <w:rStyle w:val="Hyperlink"/>
            <w:szCs w:val="16"/>
          </w:rPr>
          <w:t>https://westrk.org/district-court-order-dismisses-wsta-complaint-3-29-19/</w:t>
        </w:r>
      </w:hyperlink>
      <w:r>
        <w:rPr>
          <w:szCs w:val="16"/>
        </w:rPr>
        <w:t>.</w:t>
      </w:r>
    </w:p>
    <w:p w14:paraId="4E4DF085" w14:textId="1F10F5D6" w:rsidR="00D245BE" w:rsidRDefault="00D245BE" w:rsidP="00D245BE">
      <w:pPr>
        <w:rPr>
          <w:szCs w:val="16"/>
        </w:rPr>
      </w:pPr>
    </w:p>
    <w:p w14:paraId="285CBB0A" w14:textId="6FC08770" w:rsidR="00D245BE" w:rsidRPr="008104C1" w:rsidRDefault="00D245BE" w:rsidP="00D245BE">
      <w:pPr>
        <w:rPr>
          <w:b/>
          <w:sz w:val="28"/>
          <w:szCs w:val="16"/>
        </w:rPr>
      </w:pPr>
      <w:bookmarkStart w:id="12" w:name="Supreme"/>
      <w:bookmarkEnd w:id="12"/>
      <w:r w:rsidRPr="008104C1">
        <w:rPr>
          <w:b/>
          <w:sz w:val="28"/>
          <w:szCs w:val="16"/>
        </w:rPr>
        <w:t xml:space="preserve">U.S. Supreme Court </w:t>
      </w:r>
      <w:r w:rsidR="008104C1" w:rsidRPr="008104C1">
        <w:rPr>
          <w:b/>
          <w:sz w:val="28"/>
          <w:szCs w:val="16"/>
        </w:rPr>
        <w:t>lets stand ruling in California driver classification case</w:t>
      </w:r>
    </w:p>
    <w:p w14:paraId="68B3CC36" w14:textId="7CFB7113" w:rsidR="00D245BE" w:rsidRDefault="00D245BE" w:rsidP="00D245BE">
      <w:pPr>
        <w:rPr>
          <w:szCs w:val="16"/>
        </w:rPr>
      </w:pPr>
      <w:r w:rsidRPr="00D245BE">
        <w:rPr>
          <w:szCs w:val="16"/>
        </w:rPr>
        <w:t xml:space="preserve">The U.S. Supreme Court </w:t>
      </w:r>
      <w:r w:rsidR="008104C1">
        <w:rPr>
          <w:szCs w:val="16"/>
        </w:rPr>
        <w:t xml:space="preserve">refused to hear an </w:t>
      </w:r>
      <w:r w:rsidRPr="00D245BE">
        <w:rPr>
          <w:szCs w:val="16"/>
        </w:rPr>
        <w:t xml:space="preserve">appeal </w:t>
      </w:r>
      <w:r w:rsidR="008104C1">
        <w:rPr>
          <w:szCs w:val="16"/>
        </w:rPr>
        <w:t xml:space="preserve">by the </w:t>
      </w:r>
      <w:r w:rsidRPr="00D245BE">
        <w:rPr>
          <w:szCs w:val="16"/>
        </w:rPr>
        <w:t xml:space="preserve">California Trucking Association </w:t>
      </w:r>
      <w:r w:rsidR="008104C1">
        <w:rPr>
          <w:szCs w:val="16"/>
        </w:rPr>
        <w:t xml:space="preserve">over how the California </w:t>
      </w:r>
      <w:r w:rsidRPr="00D245BE">
        <w:rPr>
          <w:szCs w:val="16"/>
        </w:rPr>
        <w:t>Department of Labor Relations</w:t>
      </w:r>
      <w:r w:rsidR="008104C1">
        <w:rPr>
          <w:szCs w:val="16"/>
        </w:rPr>
        <w:t xml:space="preserve"> </w:t>
      </w:r>
      <w:r w:rsidRPr="00D245BE">
        <w:rPr>
          <w:szCs w:val="16"/>
        </w:rPr>
        <w:t>determines whether a truck driver is a company employee or an independent contractor.</w:t>
      </w:r>
      <w:r w:rsidR="008104C1">
        <w:rPr>
          <w:szCs w:val="16"/>
        </w:rPr>
        <w:t xml:space="preserve"> </w:t>
      </w:r>
      <w:r w:rsidRPr="00D245BE">
        <w:rPr>
          <w:szCs w:val="16"/>
        </w:rPr>
        <w:t>CTA</w:t>
      </w:r>
      <w:r w:rsidR="008104C1">
        <w:rPr>
          <w:szCs w:val="16"/>
        </w:rPr>
        <w:t xml:space="preserve"> had sought a declaration that FAAAA preempts the </w:t>
      </w:r>
      <w:r w:rsidRPr="00D245BE">
        <w:rPr>
          <w:szCs w:val="16"/>
        </w:rPr>
        <w:t>so-called Borello test</w:t>
      </w:r>
      <w:r w:rsidR="008104C1">
        <w:rPr>
          <w:szCs w:val="16"/>
        </w:rPr>
        <w:t>. The association contended that the Borello test conflicted with FAAAA’s prohibition against state laws that interfere with carriers’ p</w:t>
      </w:r>
      <w:r w:rsidRPr="00D245BE">
        <w:rPr>
          <w:szCs w:val="16"/>
        </w:rPr>
        <w:t>rices, routes and services</w:t>
      </w:r>
      <w:r w:rsidR="008104C1">
        <w:rPr>
          <w:szCs w:val="16"/>
        </w:rPr>
        <w:t>.  The U.S. Supreme Court’s decision to deny a writ of certiorari means that the U.S. Court of Appeals for the Ninth Circuit’s ruling against CTA remains in place.</w:t>
      </w:r>
    </w:p>
    <w:p w14:paraId="7700CA5E" w14:textId="2DE45FEC" w:rsidR="00686961" w:rsidRDefault="00686961" w:rsidP="00686961">
      <w:pPr>
        <w:rPr>
          <w:szCs w:val="16"/>
        </w:rPr>
      </w:pPr>
    </w:p>
    <w:p w14:paraId="274B0AB0" w14:textId="77777777" w:rsidR="007319F4" w:rsidRPr="007319F4" w:rsidRDefault="007319F4" w:rsidP="007319F4">
      <w:pPr>
        <w:rPr>
          <w:b/>
          <w:sz w:val="28"/>
          <w:szCs w:val="16"/>
        </w:rPr>
      </w:pPr>
      <w:bookmarkStart w:id="13" w:name="Swift"/>
      <w:bookmarkEnd w:id="13"/>
      <w:r w:rsidRPr="007319F4">
        <w:rPr>
          <w:b/>
          <w:sz w:val="28"/>
          <w:szCs w:val="16"/>
        </w:rPr>
        <w:t>Swift Transportation settles classification suit for up to $100 million</w:t>
      </w:r>
    </w:p>
    <w:p w14:paraId="3B46CD61" w14:textId="05095EBE" w:rsidR="00F460CA" w:rsidRDefault="00F460CA" w:rsidP="00F460CA">
      <w:pPr>
        <w:rPr>
          <w:szCs w:val="16"/>
        </w:rPr>
      </w:pPr>
      <w:r w:rsidRPr="00F460CA">
        <w:rPr>
          <w:szCs w:val="16"/>
        </w:rPr>
        <w:t xml:space="preserve">Knight-Swift Transportation Holdings Inc. </w:t>
      </w:r>
      <w:r>
        <w:rPr>
          <w:szCs w:val="16"/>
        </w:rPr>
        <w:t xml:space="preserve">has agreed to pay up to $100 million to </w:t>
      </w:r>
      <w:r w:rsidR="005D0102">
        <w:rPr>
          <w:szCs w:val="16"/>
        </w:rPr>
        <w:t xml:space="preserve">potentially more than </w:t>
      </w:r>
      <w:r>
        <w:rPr>
          <w:szCs w:val="16"/>
        </w:rPr>
        <w:t xml:space="preserve">19,000 owner-operators who have worked for Swift Transportation since 1999 to settle a class-action lawsuit charging that the carrier misclassified the drivers as independent contractors. </w:t>
      </w:r>
      <w:r w:rsidR="005D0102" w:rsidRPr="005D0102">
        <w:rPr>
          <w:rFonts w:cstheme="minorHAnsi"/>
          <w:color w:val="000000"/>
          <w:shd w:val="clear" w:color="auto" w:fill="FFFFFF"/>
        </w:rPr>
        <w:t>Members of the class include any drivers who, prior to Jan</w:t>
      </w:r>
      <w:r w:rsidR="005D0102">
        <w:rPr>
          <w:rFonts w:cstheme="minorHAnsi"/>
          <w:color w:val="000000"/>
          <w:shd w:val="clear" w:color="auto" w:fill="FFFFFF"/>
        </w:rPr>
        <w:t>uary</w:t>
      </w:r>
      <w:r w:rsidR="005D0102" w:rsidRPr="005D0102">
        <w:rPr>
          <w:rFonts w:cstheme="minorHAnsi"/>
          <w:color w:val="000000"/>
          <w:shd w:val="clear" w:color="auto" w:fill="FFFFFF"/>
        </w:rPr>
        <w:t xml:space="preserve"> 1, 2019, entered into an independent contractor agreement with Swift and who also had a lease agreement with Swift subsidiary Interstate Equipment Leasing.</w:t>
      </w:r>
      <w:r w:rsidR="005D0102">
        <w:rPr>
          <w:rFonts w:ascii="Helvetica" w:hAnsi="Helvetica" w:cs="Helvetica"/>
          <w:color w:val="000000"/>
          <w:shd w:val="clear" w:color="auto" w:fill="FFFFFF"/>
        </w:rPr>
        <w:t xml:space="preserve"> </w:t>
      </w:r>
      <w:r>
        <w:rPr>
          <w:szCs w:val="16"/>
        </w:rPr>
        <w:t xml:space="preserve">The settlement was filed in </w:t>
      </w:r>
      <w:r w:rsidRPr="00F460CA">
        <w:rPr>
          <w:szCs w:val="16"/>
        </w:rPr>
        <w:t xml:space="preserve">Van Dusen, et al. v. Swift Transportation Co. of Arizona, LLC, et al., </w:t>
      </w:r>
      <w:r>
        <w:rPr>
          <w:szCs w:val="16"/>
        </w:rPr>
        <w:t xml:space="preserve">in the U.S. District Court </w:t>
      </w:r>
      <w:r w:rsidRPr="00F460CA">
        <w:rPr>
          <w:szCs w:val="16"/>
        </w:rPr>
        <w:t>for the District of</w:t>
      </w:r>
      <w:r w:rsidR="005D0102">
        <w:rPr>
          <w:szCs w:val="16"/>
        </w:rPr>
        <w:t xml:space="preserve"> </w:t>
      </w:r>
      <w:r w:rsidRPr="00F460CA">
        <w:rPr>
          <w:szCs w:val="16"/>
        </w:rPr>
        <w:t>Arizona</w:t>
      </w:r>
      <w:r w:rsidR="005D0102">
        <w:rPr>
          <w:szCs w:val="16"/>
        </w:rPr>
        <w:t xml:space="preserve"> (</w:t>
      </w:r>
      <w:r w:rsidRPr="00F460CA">
        <w:rPr>
          <w:szCs w:val="16"/>
        </w:rPr>
        <w:t>Case No. CV 10-899-PHX-JWS</w:t>
      </w:r>
      <w:r w:rsidR="005D0102">
        <w:rPr>
          <w:szCs w:val="16"/>
        </w:rPr>
        <w:t>).</w:t>
      </w:r>
    </w:p>
    <w:p w14:paraId="48EC6E32" w14:textId="0863D696" w:rsidR="00F460CA" w:rsidRDefault="00F460CA" w:rsidP="00686961">
      <w:pPr>
        <w:rPr>
          <w:szCs w:val="16"/>
        </w:rPr>
      </w:pPr>
    </w:p>
    <w:p w14:paraId="792BF2B5" w14:textId="77777777" w:rsidR="00554F07" w:rsidRDefault="00554F07" w:rsidP="00686961">
      <w:pPr>
        <w:rPr>
          <w:szCs w:val="16"/>
        </w:rPr>
      </w:pPr>
    </w:p>
    <w:p w14:paraId="49376D5B" w14:textId="6197214C" w:rsidR="00743947" w:rsidRPr="00743947" w:rsidRDefault="00743947" w:rsidP="007A5CA3">
      <w:pPr>
        <w:rPr>
          <w:b/>
          <w:sz w:val="28"/>
          <w:szCs w:val="16"/>
        </w:rPr>
      </w:pPr>
      <w:r w:rsidRPr="00743947">
        <w:rPr>
          <w:b/>
          <w:sz w:val="28"/>
          <w:szCs w:val="16"/>
        </w:rPr>
        <w:t>Carriers appeal dismissal of federal lawsuit on Rhode Island tolls</w:t>
      </w:r>
    </w:p>
    <w:p w14:paraId="7C7A0C44" w14:textId="64FE1276" w:rsidR="00661890" w:rsidRDefault="00743947" w:rsidP="007A5CA3">
      <w:pPr>
        <w:rPr>
          <w:szCs w:val="16"/>
        </w:rPr>
      </w:pPr>
      <w:r>
        <w:rPr>
          <w:szCs w:val="16"/>
        </w:rPr>
        <w:t>T</w:t>
      </w:r>
      <w:r w:rsidRPr="00743947">
        <w:rPr>
          <w:szCs w:val="16"/>
        </w:rPr>
        <w:t>he American Trucking Associations and t</w:t>
      </w:r>
      <w:r>
        <w:rPr>
          <w:szCs w:val="16"/>
        </w:rPr>
        <w:t xml:space="preserve">hree </w:t>
      </w:r>
      <w:r w:rsidRPr="00743947">
        <w:rPr>
          <w:szCs w:val="16"/>
        </w:rPr>
        <w:t xml:space="preserve">motor carriers </w:t>
      </w:r>
      <w:r>
        <w:rPr>
          <w:szCs w:val="16"/>
        </w:rPr>
        <w:t xml:space="preserve">– </w:t>
      </w:r>
      <w:r w:rsidRPr="00743947">
        <w:rPr>
          <w:szCs w:val="16"/>
        </w:rPr>
        <w:t>Cumberland</w:t>
      </w:r>
      <w:r>
        <w:rPr>
          <w:szCs w:val="16"/>
        </w:rPr>
        <w:t xml:space="preserve"> </w:t>
      </w:r>
      <w:r w:rsidRPr="00743947">
        <w:rPr>
          <w:szCs w:val="16"/>
        </w:rPr>
        <w:t>Farms Inc., M&amp;M Transport Services Inc. and New England Motor Freight</w:t>
      </w:r>
      <w:r>
        <w:rPr>
          <w:szCs w:val="16"/>
        </w:rPr>
        <w:t xml:space="preserve"> – </w:t>
      </w:r>
      <w:r w:rsidRPr="00743947">
        <w:rPr>
          <w:szCs w:val="16"/>
        </w:rPr>
        <w:t>have</w:t>
      </w:r>
      <w:r>
        <w:rPr>
          <w:szCs w:val="16"/>
        </w:rPr>
        <w:t xml:space="preserve"> </w:t>
      </w:r>
      <w:r w:rsidRPr="00743947">
        <w:rPr>
          <w:szCs w:val="16"/>
        </w:rPr>
        <w:t xml:space="preserve">appealed a federal court’s ruling that litigation against Rhode Island’s truck-only toll regime could not proceed in federal court. </w:t>
      </w:r>
      <w:r w:rsidR="00661890">
        <w:rPr>
          <w:szCs w:val="16"/>
        </w:rPr>
        <w:t xml:space="preserve">ATA and the carriers charge the that plan, known as </w:t>
      </w:r>
      <w:r w:rsidR="00661890" w:rsidRPr="00661890">
        <w:rPr>
          <w:szCs w:val="16"/>
        </w:rPr>
        <w:t>RhodeWorks</w:t>
      </w:r>
      <w:r w:rsidR="00661890">
        <w:rPr>
          <w:szCs w:val="16"/>
        </w:rPr>
        <w:t>,</w:t>
      </w:r>
      <w:r w:rsidR="00661890" w:rsidRPr="00661890">
        <w:rPr>
          <w:szCs w:val="16"/>
        </w:rPr>
        <w:t xml:space="preserve"> violates the Constitution’s Commerce Clause by discriminating against out-of-state trucking companies and by designing the tolls in a way that does not fairly approximate motorists’ use of the roads.</w:t>
      </w:r>
    </w:p>
    <w:p w14:paraId="2EECCC23" w14:textId="4C765C16" w:rsidR="00661890" w:rsidRDefault="00661890" w:rsidP="007A5CA3">
      <w:pPr>
        <w:rPr>
          <w:szCs w:val="16"/>
        </w:rPr>
      </w:pPr>
    </w:p>
    <w:p w14:paraId="39E6B279" w14:textId="22CD2812" w:rsidR="00872455" w:rsidRDefault="00872455" w:rsidP="00872455">
      <w:pPr>
        <w:rPr>
          <w:szCs w:val="16"/>
        </w:rPr>
      </w:pPr>
      <w:r w:rsidRPr="00692354">
        <w:rPr>
          <w:b/>
          <w:noProof/>
          <w:sz w:val="32"/>
          <w:szCs w:val="32"/>
        </w:rPr>
        <mc:AlternateContent>
          <mc:Choice Requires="wps">
            <w:drawing>
              <wp:anchor distT="45720" distB="45720" distL="114300" distR="114300" simplePos="0" relativeHeight="251665408" behindDoc="1" locked="0" layoutInCell="1" allowOverlap="1" wp14:anchorId="28374283" wp14:editId="24A7C8C9">
                <wp:simplePos x="0" y="0"/>
                <wp:positionH relativeFrom="margin">
                  <wp:posOffset>30480</wp:posOffset>
                </wp:positionH>
                <wp:positionV relativeFrom="paragraph">
                  <wp:posOffset>76200</wp:posOffset>
                </wp:positionV>
                <wp:extent cx="971550" cy="140462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chemeClr val="bg1">
                            <a:lumMod val="50000"/>
                          </a:schemeClr>
                        </a:solidFill>
                        <a:ln w="9525">
                          <a:solidFill>
                            <a:srgbClr val="000000"/>
                          </a:solidFill>
                          <a:miter lim="800000"/>
                          <a:headEnd/>
                          <a:tailEnd/>
                        </a:ln>
                      </wps:spPr>
                      <wps:txbx>
                        <w:txbxContent>
                          <w:p w14:paraId="2E49ADB4" w14:textId="5B16C333" w:rsidR="00872455" w:rsidRPr="00692354" w:rsidRDefault="00872455" w:rsidP="00872455">
                            <w:pPr>
                              <w:rPr>
                                <w:b/>
                                <w:color w:val="FFFFFF" w:themeColor="background1"/>
                                <w:sz w:val="32"/>
                                <w:szCs w:val="32"/>
                              </w:rPr>
                            </w:pPr>
                            <w:r>
                              <w:rPr>
                                <w:b/>
                                <w:color w:val="FFFFFF" w:themeColor="background1"/>
                                <w:sz w:val="32"/>
                                <w:szCs w:val="32"/>
                              </w:rPr>
                              <w:t>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74283" id="_x0000_s1028" type="#_x0000_t202" style="position:absolute;margin-left:2.4pt;margin-top:6pt;width:76.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" fillcolor="#7f7f7f [1612]">
                <v:textbox style="mso-fit-shape-to-text:t">
                  <w:txbxContent>
                    <w:p w14:paraId="2E49ADB4" w14:textId="5B16C333" w:rsidR="00872455" w:rsidRPr="00692354" w:rsidRDefault="00872455" w:rsidP="00872455">
                      <w:pPr>
                        <w:rPr>
                          <w:b/>
                          <w:color w:val="FFFFFF" w:themeColor="background1"/>
                          <w:sz w:val="32"/>
                          <w:szCs w:val="32"/>
                        </w:rPr>
                      </w:pPr>
                      <w:r>
                        <w:rPr>
                          <w:b/>
                          <w:color w:val="FFFFFF" w:themeColor="background1"/>
                          <w:sz w:val="32"/>
                          <w:szCs w:val="32"/>
                        </w:rPr>
                        <w:t>Analysis</w:t>
                      </w:r>
                    </w:p>
                  </w:txbxContent>
                </v:textbox>
                <w10:wrap anchorx="margin"/>
              </v:shape>
            </w:pict>
          </mc:Fallback>
        </mc:AlternateContent>
      </w:r>
    </w:p>
    <w:p w14:paraId="20F01AAD" w14:textId="75C8E328" w:rsidR="00872455" w:rsidRDefault="00872455" w:rsidP="00872455">
      <w:pPr>
        <w:rPr>
          <w:szCs w:val="16"/>
        </w:rPr>
      </w:pPr>
      <w:bookmarkStart w:id="14" w:name="Rhode"/>
      <w:bookmarkStart w:id="15" w:name="Analysis"/>
      <w:bookmarkEnd w:id="14"/>
      <w:bookmarkEnd w:id="15"/>
    </w:p>
    <w:p w14:paraId="3C410D2D" w14:textId="4B1A722F" w:rsidR="00872455" w:rsidRDefault="00872455" w:rsidP="00872455">
      <w:pPr>
        <w:rPr>
          <w:szCs w:val="16"/>
        </w:rPr>
      </w:pPr>
    </w:p>
    <w:p w14:paraId="4EEDB965" w14:textId="072147D3" w:rsidR="00872455" w:rsidRPr="0012739E" w:rsidRDefault="00872455" w:rsidP="00872455">
      <w:pPr>
        <w:rPr>
          <w:b/>
          <w:sz w:val="28"/>
          <w:szCs w:val="28"/>
        </w:rPr>
      </w:pPr>
    </w:p>
    <w:p w14:paraId="3560533D" w14:textId="42E62615" w:rsidR="00872455" w:rsidRPr="0012739E" w:rsidRDefault="00872455" w:rsidP="00872455">
      <w:pPr>
        <w:rPr>
          <w:b/>
          <w:sz w:val="28"/>
          <w:szCs w:val="28"/>
        </w:rPr>
      </w:pPr>
      <w:r w:rsidRPr="0012739E">
        <w:rPr>
          <w:b/>
          <w:sz w:val="28"/>
          <w:szCs w:val="28"/>
        </w:rPr>
        <w:t xml:space="preserve">Preventability </w:t>
      </w:r>
    </w:p>
    <w:p w14:paraId="10EE24B9" w14:textId="53CE88BB" w:rsidR="00872455" w:rsidRPr="00872455" w:rsidRDefault="00872455" w:rsidP="00872455">
      <w:pPr>
        <w:rPr>
          <w:szCs w:val="16"/>
        </w:rPr>
      </w:pPr>
      <w:r w:rsidRPr="00872455">
        <w:rPr>
          <w:szCs w:val="16"/>
        </w:rPr>
        <w:t>In this and future issues of the Regulatory Update, we will publish for subscribers an analysis of topical issues and responses to frequently asked questions of interest to association members. This month’s topic is preventability.</w:t>
      </w:r>
    </w:p>
    <w:p w14:paraId="1B037632" w14:textId="77777777" w:rsidR="00872455" w:rsidRPr="00872455" w:rsidRDefault="00872455" w:rsidP="00872455">
      <w:pPr>
        <w:rPr>
          <w:szCs w:val="16"/>
        </w:rPr>
      </w:pPr>
    </w:p>
    <w:p w14:paraId="6EDA1D59" w14:textId="77777777" w:rsidR="00872455" w:rsidRPr="00872455" w:rsidRDefault="00872455" w:rsidP="00872455">
      <w:pPr>
        <w:rPr>
          <w:szCs w:val="16"/>
        </w:rPr>
      </w:pPr>
      <w:r w:rsidRPr="00872455">
        <w:rPr>
          <w:szCs w:val="16"/>
        </w:rPr>
        <w:t>Preventability is an artificial construct established by the FMCSA and used as part of its carrier rating system. The term has become controversial because of the Agency’s pilot program to call balls and strikes on over 130,000 crashes per year, with it possibly ultimately publishing a notice that “The Agency has reviewed the crash and determined it to be” either preventable or non-preventable.</w:t>
      </w:r>
    </w:p>
    <w:p w14:paraId="40A4E095" w14:textId="77777777" w:rsidR="00872455" w:rsidRPr="00872455" w:rsidRDefault="00872455" w:rsidP="00872455">
      <w:pPr>
        <w:rPr>
          <w:szCs w:val="16"/>
        </w:rPr>
      </w:pPr>
    </w:p>
    <w:p w14:paraId="10489AB5" w14:textId="77777777" w:rsidR="00872455" w:rsidRPr="00872455" w:rsidRDefault="00872455" w:rsidP="00872455">
      <w:pPr>
        <w:rPr>
          <w:szCs w:val="16"/>
        </w:rPr>
      </w:pPr>
      <w:r w:rsidRPr="00872455">
        <w:rPr>
          <w:szCs w:val="16"/>
        </w:rPr>
        <w:t>Under the Agency’s preventability standard, carriers could seek removal of a crash for limited reasons such as deer strikes, rear-end collisions, etc. The term as used by the Agency has no correlation to crashes, much less to identifying any systemic flaw in a carrier’s compliance system.</w:t>
      </w:r>
    </w:p>
    <w:p w14:paraId="4C63DEC8" w14:textId="77777777" w:rsidR="00872455" w:rsidRPr="00872455" w:rsidRDefault="00872455" w:rsidP="00872455">
      <w:pPr>
        <w:rPr>
          <w:szCs w:val="16"/>
        </w:rPr>
      </w:pPr>
    </w:p>
    <w:p w14:paraId="2E666E02" w14:textId="67C016B8" w:rsidR="00872455" w:rsidRPr="00872455" w:rsidRDefault="00872455" w:rsidP="00872455">
      <w:pPr>
        <w:rPr>
          <w:szCs w:val="16"/>
        </w:rPr>
      </w:pPr>
      <w:r w:rsidRPr="00872455">
        <w:rPr>
          <w:szCs w:val="16"/>
        </w:rPr>
        <w:t xml:space="preserve">Moreover, there is no due process extended to the carrier. Under the proposed study, a carrier can file something akin to a DataQ, but a determination will be made by enforcement officials relying only on hearsay, testimony and police reports which Congress has otherwise said are not admissible in litigation. See 49 </w:t>
      </w:r>
      <w:r w:rsidR="00AD0466">
        <w:rPr>
          <w:szCs w:val="16"/>
        </w:rPr>
        <w:t xml:space="preserve">U.S.C. </w:t>
      </w:r>
      <w:bookmarkStart w:id="16" w:name="_GoBack"/>
      <w:bookmarkEnd w:id="16"/>
      <w:r w:rsidR="00AD0466">
        <w:rPr>
          <w:szCs w:val="16"/>
        </w:rPr>
        <w:t>504.</w:t>
      </w:r>
    </w:p>
    <w:p w14:paraId="2A9703EA" w14:textId="77777777" w:rsidR="00872455" w:rsidRPr="00872455" w:rsidRDefault="00872455" w:rsidP="00872455">
      <w:pPr>
        <w:rPr>
          <w:szCs w:val="16"/>
        </w:rPr>
      </w:pPr>
    </w:p>
    <w:p w14:paraId="7E7E02E4" w14:textId="710500DC" w:rsidR="00872455" w:rsidRPr="00872455" w:rsidRDefault="00872455" w:rsidP="00872455">
      <w:pPr>
        <w:rPr>
          <w:szCs w:val="16"/>
        </w:rPr>
      </w:pPr>
      <w:r w:rsidRPr="00872455">
        <w:rPr>
          <w:szCs w:val="16"/>
        </w:rPr>
        <w:t xml:space="preserve">Numbers generated by ATRI show that </w:t>
      </w:r>
      <w:proofErr w:type="gramStart"/>
      <w:r w:rsidRPr="00872455">
        <w:rPr>
          <w:szCs w:val="16"/>
        </w:rPr>
        <w:t>the majority of</w:t>
      </w:r>
      <w:proofErr w:type="gramEnd"/>
      <w:r w:rsidRPr="00872455">
        <w:rPr>
          <w:szCs w:val="16"/>
        </w:rPr>
        <w:t xml:space="preserve"> reported crashes are not the carrier’s fault and that the light scrubbing which would be permitted under the</w:t>
      </w:r>
      <w:r w:rsidR="00150FE2">
        <w:rPr>
          <w:szCs w:val="16"/>
        </w:rPr>
        <w:t xml:space="preserve"> proposed </w:t>
      </w:r>
      <w:r w:rsidRPr="00872455">
        <w:rPr>
          <w:szCs w:val="16"/>
        </w:rPr>
        <w:t>standard would still leave “alleged preventable crashes with no correlation to carrier safety performance.”</w:t>
      </w:r>
    </w:p>
    <w:p w14:paraId="4341F1B2" w14:textId="77777777" w:rsidR="00872455" w:rsidRPr="00872455" w:rsidRDefault="00872455" w:rsidP="00872455">
      <w:pPr>
        <w:rPr>
          <w:szCs w:val="16"/>
        </w:rPr>
      </w:pPr>
    </w:p>
    <w:p w14:paraId="53E1FFB9" w14:textId="77777777" w:rsidR="00872455" w:rsidRPr="00872455" w:rsidRDefault="00872455" w:rsidP="00872455">
      <w:pPr>
        <w:rPr>
          <w:szCs w:val="16"/>
        </w:rPr>
      </w:pPr>
      <w:r w:rsidRPr="00872455">
        <w:rPr>
          <w:szCs w:val="16"/>
        </w:rPr>
        <w:t>Rather than perpetrate a mock trial procedure on every recordable accident, the Agency’s efforts would be better spent conducting desktop audits as a predicate for assigning safety ratings.</w:t>
      </w:r>
    </w:p>
    <w:p w14:paraId="201C2FAE" w14:textId="77777777" w:rsidR="00872455" w:rsidRPr="00872455" w:rsidRDefault="00872455" w:rsidP="00872455">
      <w:pPr>
        <w:rPr>
          <w:szCs w:val="16"/>
        </w:rPr>
      </w:pPr>
    </w:p>
    <w:p w14:paraId="5174AF97" w14:textId="08BE486F" w:rsidR="00872455" w:rsidRPr="00872455" w:rsidRDefault="0012739E" w:rsidP="00872455">
      <w:pPr>
        <w:rPr>
          <w:szCs w:val="16"/>
        </w:rPr>
      </w:pPr>
      <w:r w:rsidRPr="00692354">
        <w:rPr>
          <w:b/>
          <w:noProof/>
          <w:sz w:val="32"/>
          <w:szCs w:val="32"/>
        </w:rPr>
        <mc:AlternateContent>
          <mc:Choice Requires="wps">
            <w:drawing>
              <wp:anchor distT="45720" distB="45720" distL="114300" distR="114300" simplePos="0" relativeHeight="251667456" behindDoc="1" locked="0" layoutInCell="1" allowOverlap="1" wp14:anchorId="06ED87C5" wp14:editId="4CFED22C">
                <wp:simplePos x="0" y="0"/>
                <wp:positionH relativeFrom="margin">
                  <wp:posOffset>1270</wp:posOffset>
                </wp:positionH>
                <wp:positionV relativeFrom="paragraph">
                  <wp:posOffset>134620</wp:posOffset>
                </wp:positionV>
                <wp:extent cx="2657475" cy="1404620"/>
                <wp:effectExtent l="0" t="0" r="285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chemeClr val="bg1">
                            <a:lumMod val="50000"/>
                          </a:schemeClr>
                        </a:solidFill>
                        <a:ln w="9525">
                          <a:solidFill>
                            <a:srgbClr val="000000"/>
                          </a:solidFill>
                          <a:miter lim="800000"/>
                          <a:headEnd/>
                          <a:tailEnd/>
                        </a:ln>
                      </wps:spPr>
                      <wps:txbx>
                        <w:txbxContent>
                          <w:p w14:paraId="0CA3F36D" w14:textId="493D13B2" w:rsidR="0012739E" w:rsidRPr="00692354" w:rsidRDefault="0012739E" w:rsidP="0012739E">
                            <w:pPr>
                              <w:rPr>
                                <w:b/>
                                <w:color w:val="FFFFFF" w:themeColor="background1"/>
                                <w:sz w:val="32"/>
                                <w:szCs w:val="32"/>
                              </w:rPr>
                            </w:pPr>
                            <w:r>
                              <w:rPr>
                                <w:b/>
                                <w:color w:val="FFFFFF" w:themeColor="background1"/>
                                <w:sz w:val="32"/>
                                <w:szCs w:val="32"/>
                              </w:rPr>
                              <w:t>Frequently Asked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87C5" id="Text Box 4" o:spid="_x0000_s1029" type="#_x0000_t202" style="position:absolute;margin-left:.1pt;margin-top:10.6pt;width:209.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" fillcolor="#7f7f7f [1612]">
                <v:textbox style="mso-fit-shape-to-text:t">
                  <w:txbxContent>
                    <w:p w14:paraId="0CA3F36D" w14:textId="493D13B2" w:rsidR="0012739E" w:rsidRPr="00692354" w:rsidRDefault="0012739E" w:rsidP="0012739E">
                      <w:pPr>
                        <w:rPr>
                          <w:b/>
                          <w:color w:val="FFFFFF" w:themeColor="background1"/>
                          <w:sz w:val="32"/>
                          <w:szCs w:val="32"/>
                        </w:rPr>
                      </w:pPr>
                      <w:r>
                        <w:rPr>
                          <w:b/>
                          <w:color w:val="FFFFFF" w:themeColor="background1"/>
                          <w:sz w:val="32"/>
                          <w:szCs w:val="32"/>
                        </w:rPr>
                        <w:t>Frequently Asked Questions</w:t>
                      </w:r>
                    </w:p>
                  </w:txbxContent>
                </v:textbox>
                <w10:wrap anchorx="margin"/>
              </v:shape>
            </w:pict>
          </mc:Fallback>
        </mc:AlternateContent>
      </w:r>
    </w:p>
    <w:p w14:paraId="5B12BA58" w14:textId="77777777" w:rsidR="0012739E" w:rsidRDefault="0012739E" w:rsidP="00872455">
      <w:pPr>
        <w:rPr>
          <w:szCs w:val="16"/>
        </w:rPr>
      </w:pPr>
    </w:p>
    <w:p w14:paraId="6FE298FE" w14:textId="77777777" w:rsidR="0012739E" w:rsidRDefault="0012739E" w:rsidP="00872455">
      <w:pPr>
        <w:rPr>
          <w:szCs w:val="16"/>
        </w:rPr>
      </w:pPr>
    </w:p>
    <w:p w14:paraId="580F7283" w14:textId="77777777" w:rsidR="0012739E" w:rsidRDefault="0012739E" w:rsidP="00872455">
      <w:pPr>
        <w:rPr>
          <w:szCs w:val="16"/>
        </w:rPr>
      </w:pPr>
    </w:p>
    <w:p w14:paraId="20CEAD3B" w14:textId="31BDC3DB" w:rsidR="00872455" w:rsidRDefault="00872455" w:rsidP="00872455">
      <w:pPr>
        <w:rPr>
          <w:szCs w:val="16"/>
        </w:rPr>
      </w:pPr>
      <w:r w:rsidRPr="00872455">
        <w:rPr>
          <w:szCs w:val="16"/>
        </w:rPr>
        <w:t xml:space="preserve">Readers who have questions on general transportation importance or that are of </w:t>
      </w:r>
      <w:proofErr w:type="gramStart"/>
      <w:r w:rsidRPr="00872455">
        <w:rPr>
          <w:szCs w:val="16"/>
        </w:rPr>
        <w:t>particular importance</w:t>
      </w:r>
      <w:proofErr w:type="gramEnd"/>
      <w:r w:rsidRPr="00872455">
        <w:rPr>
          <w:szCs w:val="16"/>
        </w:rPr>
        <w:t xml:space="preserve"> to association members, please address them to ASECTT@gmail.com and they will be answered and may be published in future issues.</w:t>
      </w:r>
    </w:p>
    <w:sectPr w:rsidR="00872455" w:rsidSect="001C63CA">
      <w:headerReference w:type="default" r:id="rId16"/>
      <w:footerReference w:type="default" r:id="rId17"/>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1F41" w14:textId="77777777" w:rsidR="00C95921" w:rsidRDefault="00C95921" w:rsidP="00FE2A24">
      <w:r>
        <w:separator/>
      </w:r>
    </w:p>
  </w:endnote>
  <w:endnote w:type="continuationSeparator" w:id="0">
    <w:p w14:paraId="60524285" w14:textId="77777777" w:rsidR="00C95921" w:rsidRDefault="00C95921" w:rsidP="00FE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433536"/>
      <w:docPartObj>
        <w:docPartGallery w:val="Page Numbers (Bottom of Page)"/>
        <w:docPartUnique/>
      </w:docPartObj>
    </w:sdtPr>
    <w:sdtEndPr>
      <w:rPr>
        <w:noProof/>
      </w:rPr>
    </w:sdtEndPr>
    <w:sdtContent>
      <w:p w14:paraId="63255FCE" w14:textId="1724D83F" w:rsidR="00D61FC7" w:rsidRDefault="00D61F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EFA0B" w14:textId="77777777" w:rsidR="00D61FC7" w:rsidRDefault="00D6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350A" w14:textId="77777777" w:rsidR="00C95921" w:rsidRDefault="00C95921" w:rsidP="00FE2A24">
      <w:r>
        <w:separator/>
      </w:r>
    </w:p>
  </w:footnote>
  <w:footnote w:type="continuationSeparator" w:id="0">
    <w:p w14:paraId="441D5041" w14:textId="77777777" w:rsidR="00C95921" w:rsidRDefault="00C95921" w:rsidP="00FE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CF2A" w14:textId="2C155409" w:rsidR="00D61FC7" w:rsidRPr="00C73A56" w:rsidRDefault="00D61FC7" w:rsidP="00C73A56">
    <w:pPr>
      <w:pStyle w:val="Footer"/>
    </w:pPr>
    <w:r w:rsidRPr="00C73A56">
      <w:rPr>
        <w:sz w:val="28"/>
        <w:szCs w:val="28"/>
      </w:rPr>
      <w:t xml:space="preserve">Regulatory </w:t>
    </w:r>
    <w:r>
      <w:rPr>
        <w:sz w:val="28"/>
        <w:szCs w:val="28"/>
      </w:rPr>
      <w:t xml:space="preserve">and Legislative </w:t>
    </w:r>
    <w:r w:rsidRPr="00C73A56">
      <w:rPr>
        <w:sz w:val="28"/>
        <w:szCs w:val="28"/>
      </w:rPr>
      <w:t>Update</w:t>
    </w:r>
    <w:r>
      <w:rPr>
        <w:sz w:val="28"/>
        <w:szCs w:val="28"/>
      </w:rPr>
      <w:t xml:space="preserve"> – </w:t>
    </w:r>
    <w:r w:rsidR="00743947">
      <w:rPr>
        <w:sz w:val="28"/>
        <w:szCs w:val="28"/>
      </w:rPr>
      <w:t>April</w:t>
    </w:r>
    <w:r>
      <w:rPr>
        <w:sz w:val="28"/>
        <w:szCs w:val="28"/>
      </w:rPr>
      <w:t xml:space="preserve"> 201</w:t>
    </w:r>
    <w:r w:rsidR="009A144F">
      <w:rPr>
        <w:sz w:val="28"/>
        <w:szCs w:val="28"/>
      </w:rPr>
      <w:t>9</w:t>
    </w:r>
  </w:p>
  <w:p w14:paraId="49DFC2E9" w14:textId="77777777" w:rsidR="00D61FC7" w:rsidRDefault="00D6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443"/>
    <w:multiLevelType w:val="hybridMultilevel"/>
    <w:tmpl w:val="4AA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6B67"/>
    <w:multiLevelType w:val="hybridMultilevel"/>
    <w:tmpl w:val="46E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1ED2"/>
    <w:multiLevelType w:val="hybridMultilevel"/>
    <w:tmpl w:val="38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59CE"/>
    <w:multiLevelType w:val="hybridMultilevel"/>
    <w:tmpl w:val="0CD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70FC"/>
    <w:multiLevelType w:val="hybridMultilevel"/>
    <w:tmpl w:val="9D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141"/>
    <w:multiLevelType w:val="hybridMultilevel"/>
    <w:tmpl w:val="368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33715"/>
    <w:multiLevelType w:val="hybridMultilevel"/>
    <w:tmpl w:val="A8C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53B6"/>
    <w:multiLevelType w:val="hybridMultilevel"/>
    <w:tmpl w:val="85B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4435E"/>
    <w:multiLevelType w:val="hybridMultilevel"/>
    <w:tmpl w:val="470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E7FDC"/>
    <w:multiLevelType w:val="hybridMultilevel"/>
    <w:tmpl w:val="D5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55353"/>
    <w:multiLevelType w:val="hybridMultilevel"/>
    <w:tmpl w:val="D5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1E74"/>
    <w:multiLevelType w:val="hybridMultilevel"/>
    <w:tmpl w:val="DE2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1"/>
  </w:num>
  <w:num w:numId="6">
    <w:abstractNumId w:val="8"/>
  </w:num>
  <w:num w:numId="7">
    <w:abstractNumId w:val="9"/>
  </w:num>
  <w:num w:numId="8">
    <w:abstractNumId w:val="10"/>
  </w:num>
  <w:num w:numId="9">
    <w:abstractNumId w:val="1"/>
  </w:num>
  <w:num w:numId="10">
    <w:abstractNumId w:val="4"/>
  </w:num>
  <w:num w:numId="11">
    <w:abstractNumId w:val="6"/>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3B"/>
    <w:rsid w:val="00000C8D"/>
    <w:rsid w:val="000010D5"/>
    <w:rsid w:val="00001130"/>
    <w:rsid w:val="00001DFC"/>
    <w:rsid w:val="00003449"/>
    <w:rsid w:val="00004BC2"/>
    <w:rsid w:val="000051B5"/>
    <w:rsid w:val="0000612C"/>
    <w:rsid w:val="00007029"/>
    <w:rsid w:val="00010B7F"/>
    <w:rsid w:val="00010EE2"/>
    <w:rsid w:val="00014488"/>
    <w:rsid w:val="000172E7"/>
    <w:rsid w:val="00020DE2"/>
    <w:rsid w:val="00022511"/>
    <w:rsid w:val="0002344A"/>
    <w:rsid w:val="0002598B"/>
    <w:rsid w:val="00026004"/>
    <w:rsid w:val="000260FE"/>
    <w:rsid w:val="00026269"/>
    <w:rsid w:val="00026A69"/>
    <w:rsid w:val="00026C97"/>
    <w:rsid w:val="00026F67"/>
    <w:rsid w:val="000274ED"/>
    <w:rsid w:val="0002763D"/>
    <w:rsid w:val="0003115C"/>
    <w:rsid w:val="000341D4"/>
    <w:rsid w:val="00034F11"/>
    <w:rsid w:val="000361AB"/>
    <w:rsid w:val="0003654C"/>
    <w:rsid w:val="0003655A"/>
    <w:rsid w:val="000369B8"/>
    <w:rsid w:val="00036C04"/>
    <w:rsid w:val="00037F1F"/>
    <w:rsid w:val="00040EC5"/>
    <w:rsid w:val="00043C63"/>
    <w:rsid w:val="00044F54"/>
    <w:rsid w:val="00045B89"/>
    <w:rsid w:val="00046A3D"/>
    <w:rsid w:val="0004746E"/>
    <w:rsid w:val="0004754E"/>
    <w:rsid w:val="000509F3"/>
    <w:rsid w:val="00050BB1"/>
    <w:rsid w:val="00051585"/>
    <w:rsid w:val="00051C8E"/>
    <w:rsid w:val="00052A53"/>
    <w:rsid w:val="00054105"/>
    <w:rsid w:val="0005503E"/>
    <w:rsid w:val="000557EE"/>
    <w:rsid w:val="000558C8"/>
    <w:rsid w:val="000561B8"/>
    <w:rsid w:val="000563D6"/>
    <w:rsid w:val="00056471"/>
    <w:rsid w:val="000564C4"/>
    <w:rsid w:val="00056E0F"/>
    <w:rsid w:val="000574BF"/>
    <w:rsid w:val="000600D8"/>
    <w:rsid w:val="000606B2"/>
    <w:rsid w:val="00060845"/>
    <w:rsid w:val="00060DBE"/>
    <w:rsid w:val="00061BDF"/>
    <w:rsid w:val="00064BF1"/>
    <w:rsid w:val="00064C8B"/>
    <w:rsid w:val="000658E3"/>
    <w:rsid w:val="000715FB"/>
    <w:rsid w:val="00071FA1"/>
    <w:rsid w:val="00072066"/>
    <w:rsid w:val="000720E8"/>
    <w:rsid w:val="0007219D"/>
    <w:rsid w:val="00073487"/>
    <w:rsid w:val="00074C20"/>
    <w:rsid w:val="00074F38"/>
    <w:rsid w:val="000807C1"/>
    <w:rsid w:val="00080959"/>
    <w:rsid w:val="00083A9F"/>
    <w:rsid w:val="00083CAB"/>
    <w:rsid w:val="00084714"/>
    <w:rsid w:val="00086674"/>
    <w:rsid w:val="000875E4"/>
    <w:rsid w:val="00091050"/>
    <w:rsid w:val="0009269B"/>
    <w:rsid w:val="00092F92"/>
    <w:rsid w:val="0009415F"/>
    <w:rsid w:val="000A1E91"/>
    <w:rsid w:val="000A28BB"/>
    <w:rsid w:val="000A4107"/>
    <w:rsid w:val="000A4DF2"/>
    <w:rsid w:val="000A72FE"/>
    <w:rsid w:val="000A7DC5"/>
    <w:rsid w:val="000B06CF"/>
    <w:rsid w:val="000B0F1F"/>
    <w:rsid w:val="000B148D"/>
    <w:rsid w:val="000B15E3"/>
    <w:rsid w:val="000B17AD"/>
    <w:rsid w:val="000B25A5"/>
    <w:rsid w:val="000B3BA4"/>
    <w:rsid w:val="000B6354"/>
    <w:rsid w:val="000B7362"/>
    <w:rsid w:val="000C0C1A"/>
    <w:rsid w:val="000C2D9C"/>
    <w:rsid w:val="000C38FD"/>
    <w:rsid w:val="000C392E"/>
    <w:rsid w:val="000C5D82"/>
    <w:rsid w:val="000C6BE3"/>
    <w:rsid w:val="000D04BB"/>
    <w:rsid w:val="000D0756"/>
    <w:rsid w:val="000D14A6"/>
    <w:rsid w:val="000D1CB1"/>
    <w:rsid w:val="000D2330"/>
    <w:rsid w:val="000D4D19"/>
    <w:rsid w:val="000D579B"/>
    <w:rsid w:val="000D63B7"/>
    <w:rsid w:val="000E005B"/>
    <w:rsid w:val="000E034F"/>
    <w:rsid w:val="000E48AC"/>
    <w:rsid w:val="000E4950"/>
    <w:rsid w:val="000E4EB5"/>
    <w:rsid w:val="000F0CFC"/>
    <w:rsid w:val="000F1D4E"/>
    <w:rsid w:val="000F2054"/>
    <w:rsid w:val="000F229C"/>
    <w:rsid w:val="000F3C6B"/>
    <w:rsid w:val="000F5062"/>
    <w:rsid w:val="000F624A"/>
    <w:rsid w:val="000F7354"/>
    <w:rsid w:val="000F7F70"/>
    <w:rsid w:val="00100280"/>
    <w:rsid w:val="00100FBE"/>
    <w:rsid w:val="00101456"/>
    <w:rsid w:val="00103BA4"/>
    <w:rsid w:val="001040AB"/>
    <w:rsid w:val="00107327"/>
    <w:rsid w:val="001109B4"/>
    <w:rsid w:val="0011201E"/>
    <w:rsid w:val="00114017"/>
    <w:rsid w:val="00114111"/>
    <w:rsid w:val="001146D1"/>
    <w:rsid w:val="001147BD"/>
    <w:rsid w:val="001159FB"/>
    <w:rsid w:val="00117320"/>
    <w:rsid w:val="00120EBE"/>
    <w:rsid w:val="001215FC"/>
    <w:rsid w:val="00122525"/>
    <w:rsid w:val="00122680"/>
    <w:rsid w:val="00122798"/>
    <w:rsid w:val="00123419"/>
    <w:rsid w:val="001251B8"/>
    <w:rsid w:val="00125B09"/>
    <w:rsid w:val="00127208"/>
    <w:rsid w:val="0012739E"/>
    <w:rsid w:val="00127EE0"/>
    <w:rsid w:val="00130610"/>
    <w:rsid w:val="00134F4D"/>
    <w:rsid w:val="00134FCA"/>
    <w:rsid w:val="001356A7"/>
    <w:rsid w:val="00135E2C"/>
    <w:rsid w:val="001366FB"/>
    <w:rsid w:val="00136AE8"/>
    <w:rsid w:val="0013743E"/>
    <w:rsid w:val="00142337"/>
    <w:rsid w:val="0014243B"/>
    <w:rsid w:val="00143036"/>
    <w:rsid w:val="00143229"/>
    <w:rsid w:val="00143535"/>
    <w:rsid w:val="001458F7"/>
    <w:rsid w:val="001460D5"/>
    <w:rsid w:val="00146737"/>
    <w:rsid w:val="001476AD"/>
    <w:rsid w:val="00147811"/>
    <w:rsid w:val="00147FDB"/>
    <w:rsid w:val="00150345"/>
    <w:rsid w:val="00150FE2"/>
    <w:rsid w:val="001524B9"/>
    <w:rsid w:val="001547CA"/>
    <w:rsid w:val="00154EBC"/>
    <w:rsid w:val="001569F4"/>
    <w:rsid w:val="00157320"/>
    <w:rsid w:val="00157743"/>
    <w:rsid w:val="001603E0"/>
    <w:rsid w:val="00161212"/>
    <w:rsid w:val="0016138D"/>
    <w:rsid w:val="001622F1"/>
    <w:rsid w:val="00164209"/>
    <w:rsid w:val="00167991"/>
    <w:rsid w:val="00167CE5"/>
    <w:rsid w:val="001706F7"/>
    <w:rsid w:val="00172868"/>
    <w:rsid w:val="00174644"/>
    <w:rsid w:val="00174B18"/>
    <w:rsid w:val="0017679F"/>
    <w:rsid w:val="00177642"/>
    <w:rsid w:val="001811C3"/>
    <w:rsid w:val="001813B0"/>
    <w:rsid w:val="00183AD4"/>
    <w:rsid w:val="0018553E"/>
    <w:rsid w:val="00185EA8"/>
    <w:rsid w:val="00186992"/>
    <w:rsid w:val="00186B1F"/>
    <w:rsid w:val="00186EFF"/>
    <w:rsid w:val="00187F66"/>
    <w:rsid w:val="0019043A"/>
    <w:rsid w:val="00190E08"/>
    <w:rsid w:val="0019103C"/>
    <w:rsid w:val="001931B5"/>
    <w:rsid w:val="0019355D"/>
    <w:rsid w:val="0019459E"/>
    <w:rsid w:val="001959C1"/>
    <w:rsid w:val="001960EE"/>
    <w:rsid w:val="001961E9"/>
    <w:rsid w:val="001967B9"/>
    <w:rsid w:val="001A0D0B"/>
    <w:rsid w:val="001A0DF3"/>
    <w:rsid w:val="001A2EC6"/>
    <w:rsid w:val="001A34A0"/>
    <w:rsid w:val="001A36E9"/>
    <w:rsid w:val="001A3DC0"/>
    <w:rsid w:val="001A3E48"/>
    <w:rsid w:val="001A46BD"/>
    <w:rsid w:val="001A4839"/>
    <w:rsid w:val="001A5169"/>
    <w:rsid w:val="001A52E4"/>
    <w:rsid w:val="001A60F1"/>
    <w:rsid w:val="001A6680"/>
    <w:rsid w:val="001A6D15"/>
    <w:rsid w:val="001A7BBE"/>
    <w:rsid w:val="001B025B"/>
    <w:rsid w:val="001B3335"/>
    <w:rsid w:val="001B4BA5"/>
    <w:rsid w:val="001B6088"/>
    <w:rsid w:val="001B6E5A"/>
    <w:rsid w:val="001B776F"/>
    <w:rsid w:val="001C2DB6"/>
    <w:rsid w:val="001C3396"/>
    <w:rsid w:val="001C5277"/>
    <w:rsid w:val="001C63CA"/>
    <w:rsid w:val="001D2056"/>
    <w:rsid w:val="001E01D0"/>
    <w:rsid w:val="001E2686"/>
    <w:rsid w:val="001E2DEE"/>
    <w:rsid w:val="001E36E7"/>
    <w:rsid w:val="001E3977"/>
    <w:rsid w:val="001E519D"/>
    <w:rsid w:val="001E5341"/>
    <w:rsid w:val="001E5FD9"/>
    <w:rsid w:val="001E6658"/>
    <w:rsid w:val="001E7881"/>
    <w:rsid w:val="001E7D6C"/>
    <w:rsid w:val="001F0C69"/>
    <w:rsid w:val="001F347F"/>
    <w:rsid w:val="0020026A"/>
    <w:rsid w:val="00203A1D"/>
    <w:rsid w:val="0021128D"/>
    <w:rsid w:val="0021204A"/>
    <w:rsid w:val="00213A1D"/>
    <w:rsid w:val="00214F28"/>
    <w:rsid w:val="00215E07"/>
    <w:rsid w:val="00220A55"/>
    <w:rsid w:val="0022194F"/>
    <w:rsid w:val="002225E5"/>
    <w:rsid w:val="00222E2F"/>
    <w:rsid w:val="002234D4"/>
    <w:rsid w:val="00223A66"/>
    <w:rsid w:val="002248A0"/>
    <w:rsid w:val="00225633"/>
    <w:rsid w:val="00225CD1"/>
    <w:rsid w:val="002264EF"/>
    <w:rsid w:val="0022768C"/>
    <w:rsid w:val="00227C76"/>
    <w:rsid w:val="002301A3"/>
    <w:rsid w:val="002302DF"/>
    <w:rsid w:val="00230CAC"/>
    <w:rsid w:val="00231B57"/>
    <w:rsid w:val="002324FD"/>
    <w:rsid w:val="00233CFB"/>
    <w:rsid w:val="00234075"/>
    <w:rsid w:val="0023684F"/>
    <w:rsid w:val="00237CF4"/>
    <w:rsid w:val="00240D77"/>
    <w:rsid w:val="002412A8"/>
    <w:rsid w:val="002426BF"/>
    <w:rsid w:val="0024442F"/>
    <w:rsid w:val="00247630"/>
    <w:rsid w:val="002501E4"/>
    <w:rsid w:val="00252B58"/>
    <w:rsid w:val="0025445C"/>
    <w:rsid w:val="0025494E"/>
    <w:rsid w:val="00255686"/>
    <w:rsid w:val="0025633D"/>
    <w:rsid w:val="0026197E"/>
    <w:rsid w:val="00261C71"/>
    <w:rsid w:val="00262414"/>
    <w:rsid w:val="0026655C"/>
    <w:rsid w:val="00267654"/>
    <w:rsid w:val="002704A9"/>
    <w:rsid w:val="00271BE5"/>
    <w:rsid w:val="00272135"/>
    <w:rsid w:val="002727B3"/>
    <w:rsid w:val="002739C1"/>
    <w:rsid w:val="002757AC"/>
    <w:rsid w:val="00275C3A"/>
    <w:rsid w:val="0027774A"/>
    <w:rsid w:val="0027788B"/>
    <w:rsid w:val="0028018C"/>
    <w:rsid w:val="00280698"/>
    <w:rsid w:val="00280EE7"/>
    <w:rsid w:val="0028283B"/>
    <w:rsid w:val="00282B64"/>
    <w:rsid w:val="00284AE8"/>
    <w:rsid w:val="00290090"/>
    <w:rsid w:val="002900AC"/>
    <w:rsid w:val="0029073D"/>
    <w:rsid w:val="0029139A"/>
    <w:rsid w:val="0029605D"/>
    <w:rsid w:val="0029659E"/>
    <w:rsid w:val="002979E2"/>
    <w:rsid w:val="002A0093"/>
    <w:rsid w:val="002A22FD"/>
    <w:rsid w:val="002A2527"/>
    <w:rsid w:val="002A29C1"/>
    <w:rsid w:val="002A2C9E"/>
    <w:rsid w:val="002A450E"/>
    <w:rsid w:val="002A47D2"/>
    <w:rsid w:val="002A795E"/>
    <w:rsid w:val="002B0366"/>
    <w:rsid w:val="002B2C01"/>
    <w:rsid w:val="002B2EA9"/>
    <w:rsid w:val="002B2FB1"/>
    <w:rsid w:val="002B3383"/>
    <w:rsid w:val="002B3814"/>
    <w:rsid w:val="002B42DB"/>
    <w:rsid w:val="002B4B1D"/>
    <w:rsid w:val="002B4FC5"/>
    <w:rsid w:val="002B5DC0"/>
    <w:rsid w:val="002B68B8"/>
    <w:rsid w:val="002C0552"/>
    <w:rsid w:val="002C1254"/>
    <w:rsid w:val="002C1907"/>
    <w:rsid w:val="002C4F1E"/>
    <w:rsid w:val="002C573A"/>
    <w:rsid w:val="002C6855"/>
    <w:rsid w:val="002D11D2"/>
    <w:rsid w:val="002D2399"/>
    <w:rsid w:val="002D2EE6"/>
    <w:rsid w:val="002D345C"/>
    <w:rsid w:val="002D4391"/>
    <w:rsid w:val="002D46DA"/>
    <w:rsid w:val="002D472F"/>
    <w:rsid w:val="002D52CE"/>
    <w:rsid w:val="002D59D2"/>
    <w:rsid w:val="002D655E"/>
    <w:rsid w:val="002D67FE"/>
    <w:rsid w:val="002D6AEC"/>
    <w:rsid w:val="002E3A89"/>
    <w:rsid w:val="002E498D"/>
    <w:rsid w:val="002E5EF3"/>
    <w:rsid w:val="002F4820"/>
    <w:rsid w:val="00300C20"/>
    <w:rsid w:val="0030123A"/>
    <w:rsid w:val="003014E5"/>
    <w:rsid w:val="00301FDA"/>
    <w:rsid w:val="00302A54"/>
    <w:rsid w:val="0030309C"/>
    <w:rsid w:val="00303C22"/>
    <w:rsid w:val="00303F2B"/>
    <w:rsid w:val="003045B8"/>
    <w:rsid w:val="0030474B"/>
    <w:rsid w:val="003049F3"/>
    <w:rsid w:val="00304A92"/>
    <w:rsid w:val="003053F0"/>
    <w:rsid w:val="00305B3D"/>
    <w:rsid w:val="003110BA"/>
    <w:rsid w:val="0031217C"/>
    <w:rsid w:val="00313800"/>
    <w:rsid w:val="00314D60"/>
    <w:rsid w:val="0031545C"/>
    <w:rsid w:val="003175E0"/>
    <w:rsid w:val="003202F2"/>
    <w:rsid w:val="003224E7"/>
    <w:rsid w:val="003234A8"/>
    <w:rsid w:val="00324182"/>
    <w:rsid w:val="003254FE"/>
    <w:rsid w:val="0032698C"/>
    <w:rsid w:val="003279FE"/>
    <w:rsid w:val="00330555"/>
    <w:rsid w:val="00332695"/>
    <w:rsid w:val="00332802"/>
    <w:rsid w:val="00335216"/>
    <w:rsid w:val="00335324"/>
    <w:rsid w:val="00335459"/>
    <w:rsid w:val="00336073"/>
    <w:rsid w:val="00336202"/>
    <w:rsid w:val="00336F23"/>
    <w:rsid w:val="003377A4"/>
    <w:rsid w:val="00340158"/>
    <w:rsid w:val="0034147E"/>
    <w:rsid w:val="003415D8"/>
    <w:rsid w:val="00343299"/>
    <w:rsid w:val="00345C51"/>
    <w:rsid w:val="003465D1"/>
    <w:rsid w:val="00347139"/>
    <w:rsid w:val="003475FC"/>
    <w:rsid w:val="003478C9"/>
    <w:rsid w:val="00350DD4"/>
    <w:rsid w:val="003532E5"/>
    <w:rsid w:val="0035414F"/>
    <w:rsid w:val="00354BAE"/>
    <w:rsid w:val="00354CEF"/>
    <w:rsid w:val="00357048"/>
    <w:rsid w:val="00361AD5"/>
    <w:rsid w:val="00364E55"/>
    <w:rsid w:val="00364E64"/>
    <w:rsid w:val="0036566A"/>
    <w:rsid w:val="00365B89"/>
    <w:rsid w:val="00366FCC"/>
    <w:rsid w:val="0036729B"/>
    <w:rsid w:val="00370BEA"/>
    <w:rsid w:val="00370E0B"/>
    <w:rsid w:val="0037148A"/>
    <w:rsid w:val="003725E8"/>
    <w:rsid w:val="00372775"/>
    <w:rsid w:val="00372C74"/>
    <w:rsid w:val="00372EF7"/>
    <w:rsid w:val="00372F42"/>
    <w:rsid w:val="003730F2"/>
    <w:rsid w:val="0037605F"/>
    <w:rsid w:val="003761D3"/>
    <w:rsid w:val="00376F9A"/>
    <w:rsid w:val="00377ED6"/>
    <w:rsid w:val="003816EE"/>
    <w:rsid w:val="00383784"/>
    <w:rsid w:val="00384EA1"/>
    <w:rsid w:val="003869BD"/>
    <w:rsid w:val="00393CC4"/>
    <w:rsid w:val="00396052"/>
    <w:rsid w:val="003A1757"/>
    <w:rsid w:val="003A3769"/>
    <w:rsid w:val="003A5464"/>
    <w:rsid w:val="003A5B27"/>
    <w:rsid w:val="003A67AD"/>
    <w:rsid w:val="003A7FC8"/>
    <w:rsid w:val="003B040F"/>
    <w:rsid w:val="003B07A6"/>
    <w:rsid w:val="003B0C0A"/>
    <w:rsid w:val="003B161A"/>
    <w:rsid w:val="003B18AC"/>
    <w:rsid w:val="003B2DBB"/>
    <w:rsid w:val="003B37C9"/>
    <w:rsid w:val="003B5A42"/>
    <w:rsid w:val="003B75F5"/>
    <w:rsid w:val="003C4A1E"/>
    <w:rsid w:val="003C4AF6"/>
    <w:rsid w:val="003C7120"/>
    <w:rsid w:val="003C7122"/>
    <w:rsid w:val="003D01BC"/>
    <w:rsid w:val="003D630E"/>
    <w:rsid w:val="003D64E4"/>
    <w:rsid w:val="003D7A48"/>
    <w:rsid w:val="003D7DE8"/>
    <w:rsid w:val="003E24D7"/>
    <w:rsid w:val="003E2B60"/>
    <w:rsid w:val="003E383E"/>
    <w:rsid w:val="003E5765"/>
    <w:rsid w:val="003E6A42"/>
    <w:rsid w:val="003E6E93"/>
    <w:rsid w:val="003E7E5F"/>
    <w:rsid w:val="003F016D"/>
    <w:rsid w:val="003F18BA"/>
    <w:rsid w:val="003F2776"/>
    <w:rsid w:val="003F2B0E"/>
    <w:rsid w:val="003F2C97"/>
    <w:rsid w:val="003F51F0"/>
    <w:rsid w:val="003F6AEC"/>
    <w:rsid w:val="00400C56"/>
    <w:rsid w:val="00403735"/>
    <w:rsid w:val="004061A3"/>
    <w:rsid w:val="00417819"/>
    <w:rsid w:val="00417884"/>
    <w:rsid w:val="004200F0"/>
    <w:rsid w:val="0042280C"/>
    <w:rsid w:val="004235A8"/>
    <w:rsid w:val="00423C3F"/>
    <w:rsid w:val="00424C35"/>
    <w:rsid w:val="00424D58"/>
    <w:rsid w:val="004264FE"/>
    <w:rsid w:val="00426758"/>
    <w:rsid w:val="00427285"/>
    <w:rsid w:val="004312D0"/>
    <w:rsid w:val="00432EAA"/>
    <w:rsid w:val="00433E63"/>
    <w:rsid w:val="00434203"/>
    <w:rsid w:val="0043465D"/>
    <w:rsid w:val="00435489"/>
    <w:rsid w:val="00435CBB"/>
    <w:rsid w:val="00435FF3"/>
    <w:rsid w:val="004402CE"/>
    <w:rsid w:val="00441C79"/>
    <w:rsid w:val="004420BE"/>
    <w:rsid w:val="00443D06"/>
    <w:rsid w:val="00444727"/>
    <w:rsid w:val="00445744"/>
    <w:rsid w:val="00446751"/>
    <w:rsid w:val="00454AC3"/>
    <w:rsid w:val="004603AE"/>
    <w:rsid w:val="0046275D"/>
    <w:rsid w:val="004635A5"/>
    <w:rsid w:val="00465545"/>
    <w:rsid w:val="00465683"/>
    <w:rsid w:val="004665BF"/>
    <w:rsid w:val="00466823"/>
    <w:rsid w:val="00466AEF"/>
    <w:rsid w:val="00467561"/>
    <w:rsid w:val="00471C9D"/>
    <w:rsid w:val="00472CA4"/>
    <w:rsid w:val="004740DA"/>
    <w:rsid w:val="00476B4A"/>
    <w:rsid w:val="00477BBC"/>
    <w:rsid w:val="004819E2"/>
    <w:rsid w:val="00482016"/>
    <w:rsid w:val="00482915"/>
    <w:rsid w:val="0048329D"/>
    <w:rsid w:val="00484BF5"/>
    <w:rsid w:val="0048500E"/>
    <w:rsid w:val="0049179B"/>
    <w:rsid w:val="00493069"/>
    <w:rsid w:val="00493248"/>
    <w:rsid w:val="00493BF8"/>
    <w:rsid w:val="0049550F"/>
    <w:rsid w:val="00496258"/>
    <w:rsid w:val="00497693"/>
    <w:rsid w:val="004A1689"/>
    <w:rsid w:val="004A216F"/>
    <w:rsid w:val="004A28E5"/>
    <w:rsid w:val="004A2FD2"/>
    <w:rsid w:val="004A504B"/>
    <w:rsid w:val="004A6441"/>
    <w:rsid w:val="004A69B5"/>
    <w:rsid w:val="004A6BF9"/>
    <w:rsid w:val="004A797B"/>
    <w:rsid w:val="004A7D89"/>
    <w:rsid w:val="004B0807"/>
    <w:rsid w:val="004B51D0"/>
    <w:rsid w:val="004B5E0F"/>
    <w:rsid w:val="004B5FE8"/>
    <w:rsid w:val="004B6F32"/>
    <w:rsid w:val="004B7F6B"/>
    <w:rsid w:val="004C075E"/>
    <w:rsid w:val="004C16C7"/>
    <w:rsid w:val="004C2890"/>
    <w:rsid w:val="004C29A8"/>
    <w:rsid w:val="004C3745"/>
    <w:rsid w:val="004C3C5E"/>
    <w:rsid w:val="004C45B9"/>
    <w:rsid w:val="004C4742"/>
    <w:rsid w:val="004C63B0"/>
    <w:rsid w:val="004C6CEA"/>
    <w:rsid w:val="004D0C34"/>
    <w:rsid w:val="004D0E64"/>
    <w:rsid w:val="004D4E52"/>
    <w:rsid w:val="004D67CC"/>
    <w:rsid w:val="004E05D5"/>
    <w:rsid w:val="004E0FEB"/>
    <w:rsid w:val="004E1D5A"/>
    <w:rsid w:val="004E4F73"/>
    <w:rsid w:val="004E52A3"/>
    <w:rsid w:val="004E6677"/>
    <w:rsid w:val="004F0AB8"/>
    <w:rsid w:val="004F0D39"/>
    <w:rsid w:val="004F2058"/>
    <w:rsid w:val="004F2522"/>
    <w:rsid w:val="004F4FF5"/>
    <w:rsid w:val="00502529"/>
    <w:rsid w:val="00505DD4"/>
    <w:rsid w:val="005067F0"/>
    <w:rsid w:val="00511130"/>
    <w:rsid w:val="0051262E"/>
    <w:rsid w:val="00513DA0"/>
    <w:rsid w:val="00514B02"/>
    <w:rsid w:val="00516506"/>
    <w:rsid w:val="00520B3B"/>
    <w:rsid w:val="0052201B"/>
    <w:rsid w:val="0052232B"/>
    <w:rsid w:val="00522A09"/>
    <w:rsid w:val="00522ECD"/>
    <w:rsid w:val="0052446F"/>
    <w:rsid w:val="00525648"/>
    <w:rsid w:val="00525FAA"/>
    <w:rsid w:val="00526C1B"/>
    <w:rsid w:val="00527F10"/>
    <w:rsid w:val="0053073C"/>
    <w:rsid w:val="005349A2"/>
    <w:rsid w:val="00536A92"/>
    <w:rsid w:val="00543161"/>
    <w:rsid w:val="00544525"/>
    <w:rsid w:val="00545B40"/>
    <w:rsid w:val="00546E14"/>
    <w:rsid w:val="00547E28"/>
    <w:rsid w:val="005500BF"/>
    <w:rsid w:val="0055076B"/>
    <w:rsid w:val="00550A0F"/>
    <w:rsid w:val="00554F07"/>
    <w:rsid w:val="0055586D"/>
    <w:rsid w:val="0055669C"/>
    <w:rsid w:val="00557446"/>
    <w:rsid w:val="00561A99"/>
    <w:rsid w:val="00562A31"/>
    <w:rsid w:val="00562B88"/>
    <w:rsid w:val="00562E5E"/>
    <w:rsid w:val="005650BD"/>
    <w:rsid w:val="005656AC"/>
    <w:rsid w:val="00565B2B"/>
    <w:rsid w:val="005660DA"/>
    <w:rsid w:val="005663D3"/>
    <w:rsid w:val="00566EA7"/>
    <w:rsid w:val="00567947"/>
    <w:rsid w:val="00567CAA"/>
    <w:rsid w:val="0057046B"/>
    <w:rsid w:val="005716BB"/>
    <w:rsid w:val="00571743"/>
    <w:rsid w:val="0057257A"/>
    <w:rsid w:val="005744CE"/>
    <w:rsid w:val="00576655"/>
    <w:rsid w:val="00577AE1"/>
    <w:rsid w:val="00577D9C"/>
    <w:rsid w:val="00580456"/>
    <w:rsid w:val="005810DC"/>
    <w:rsid w:val="00581620"/>
    <w:rsid w:val="00581EBD"/>
    <w:rsid w:val="00581F6E"/>
    <w:rsid w:val="005821A9"/>
    <w:rsid w:val="005827FE"/>
    <w:rsid w:val="00584BA3"/>
    <w:rsid w:val="00586F02"/>
    <w:rsid w:val="00587634"/>
    <w:rsid w:val="00590965"/>
    <w:rsid w:val="005909FC"/>
    <w:rsid w:val="005920F6"/>
    <w:rsid w:val="00592594"/>
    <w:rsid w:val="00592919"/>
    <w:rsid w:val="00594460"/>
    <w:rsid w:val="005945E2"/>
    <w:rsid w:val="00594913"/>
    <w:rsid w:val="00595686"/>
    <w:rsid w:val="00595732"/>
    <w:rsid w:val="005971BB"/>
    <w:rsid w:val="005975BE"/>
    <w:rsid w:val="005A021E"/>
    <w:rsid w:val="005A09AE"/>
    <w:rsid w:val="005A367F"/>
    <w:rsid w:val="005A39B1"/>
    <w:rsid w:val="005A3D7C"/>
    <w:rsid w:val="005A4A9C"/>
    <w:rsid w:val="005B050F"/>
    <w:rsid w:val="005B0845"/>
    <w:rsid w:val="005B0D8A"/>
    <w:rsid w:val="005B0DF6"/>
    <w:rsid w:val="005B0F38"/>
    <w:rsid w:val="005B1CB8"/>
    <w:rsid w:val="005B2611"/>
    <w:rsid w:val="005B4865"/>
    <w:rsid w:val="005B5582"/>
    <w:rsid w:val="005B5D4F"/>
    <w:rsid w:val="005B6CBB"/>
    <w:rsid w:val="005B7354"/>
    <w:rsid w:val="005B7F8A"/>
    <w:rsid w:val="005C04AD"/>
    <w:rsid w:val="005C24E9"/>
    <w:rsid w:val="005C271C"/>
    <w:rsid w:val="005C2B4B"/>
    <w:rsid w:val="005C5A6F"/>
    <w:rsid w:val="005C5CE3"/>
    <w:rsid w:val="005C6B67"/>
    <w:rsid w:val="005D0102"/>
    <w:rsid w:val="005D18D9"/>
    <w:rsid w:val="005D2A2C"/>
    <w:rsid w:val="005D341D"/>
    <w:rsid w:val="005D37E4"/>
    <w:rsid w:val="005D3AAC"/>
    <w:rsid w:val="005D552D"/>
    <w:rsid w:val="005D7449"/>
    <w:rsid w:val="005D74EB"/>
    <w:rsid w:val="005E0F49"/>
    <w:rsid w:val="005E35C2"/>
    <w:rsid w:val="005E47A3"/>
    <w:rsid w:val="005E50A0"/>
    <w:rsid w:val="005E6742"/>
    <w:rsid w:val="005E6A77"/>
    <w:rsid w:val="005F06E1"/>
    <w:rsid w:val="005F39CD"/>
    <w:rsid w:val="005F749E"/>
    <w:rsid w:val="006001EB"/>
    <w:rsid w:val="00600442"/>
    <w:rsid w:val="0060135C"/>
    <w:rsid w:val="006016ED"/>
    <w:rsid w:val="00603632"/>
    <w:rsid w:val="0060683B"/>
    <w:rsid w:val="00611D24"/>
    <w:rsid w:val="00612AF3"/>
    <w:rsid w:val="00613FA9"/>
    <w:rsid w:val="00614888"/>
    <w:rsid w:val="00615407"/>
    <w:rsid w:val="0061552A"/>
    <w:rsid w:val="0061570C"/>
    <w:rsid w:val="006201A9"/>
    <w:rsid w:val="0062102A"/>
    <w:rsid w:val="006225B0"/>
    <w:rsid w:val="006230A9"/>
    <w:rsid w:val="006260A9"/>
    <w:rsid w:val="00627680"/>
    <w:rsid w:val="00634A43"/>
    <w:rsid w:val="0064079E"/>
    <w:rsid w:val="0064115B"/>
    <w:rsid w:val="00642672"/>
    <w:rsid w:val="00644B38"/>
    <w:rsid w:val="00647631"/>
    <w:rsid w:val="00651660"/>
    <w:rsid w:val="00653968"/>
    <w:rsid w:val="006603E0"/>
    <w:rsid w:val="006616A7"/>
    <w:rsid w:val="00661890"/>
    <w:rsid w:val="0066387A"/>
    <w:rsid w:val="006643B5"/>
    <w:rsid w:val="006668CD"/>
    <w:rsid w:val="00667199"/>
    <w:rsid w:val="00667762"/>
    <w:rsid w:val="00670217"/>
    <w:rsid w:val="00671808"/>
    <w:rsid w:val="00671E5D"/>
    <w:rsid w:val="0067258B"/>
    <w:rsid w:val="0067379E"/>
    <w:rsid w:val="00673AAB"/>
    <w:rsid w:val="006741BD"/>
    <w:rsid w:val="006744E8"/>
    <w:rsid w:val="006745A5"/>
    <w:rsid w:val="00676362"/>
    <w:rsid w:val="00676BB6"/>
    <w:rsid w:val="00676D87"/>
    <w:rsid w:val="006800AE"/>
    <w:rsid w:val="00680338"/>
    <w:rsid w:val="0068037B"/>
    <w:rsid w:val="006811B2"/>
    <w:rsid w:val="00684724"/>
    <w:rsid w:val="0068554A"/>
    <w:rsid w:val="00685C8A"/>
    <w:rsid w:val="00686961"/>
    <w:rsid w:val="006876C9"/>
    <w:rsid w:val="00687FFE"/>
    <w:rsid w:val="006919D0"/>
    <w:rsid w:val="00692099"/>
    <w:rsid w:val="00692354"/>
    <w:rsid w:val="00692D64"/>
    <w:rsid w:val="00693300"/>
    <w:rsid w:val="006948DE"/>
    <w:rsid w:val="00695637"/>
    <w:rsid w:val="00695D35"/>
    <w:rsid w:val="00696D0C"/>
    <w:rsid w:val="0069758C"/>
    <w:rsid w:val="00697722"/>
    <w:rsid w:val="006A05CC"/>
    <w:rsid w:val="006A157B"/>
    <w:rsid w:val="006A216D"/>
    <w:rsid w:val="006A223D"/>
    <w:rsid w:val="006A226C"/>
    <w:rsid w:val="006A69D0"/>
    <w:rsid w:val="006A6B09"/>
    <w:rsid w:val="006A74BA"/>
    <w:rsid w:val="006A7919"/>
    <w:rsid w:val="006B00A8"/>
    <w:rsid w:val="006B0E99"/>
    <w:rsid w:val="006B21D6"/>
    <w:rsid w:val="006B35D9"/>
    <w:rsid w:val="006B5A70"/>
    <w:rsid w:val="006B5E1C"/>
    <w:rsid w:val="006B68B3"/>
    <w:rsid w:val="006B71F8"/>
    <w:rsid w:val="006C460E"/>
    <w:rsid w:val="006C5FBE"/>
    <w:rsid w:val="006C6345"/>
    <w:rsid w:val="006C6D87"/>
    <w:rsid w:val="006C6F18"/>
    <w:rsid w:val="006C7A68"/>
    <w:rsid w:val="006D104B"/>
    <w:rsid w:val="006D5F47"/>
    <w:rsid w:val="006E00F2"/>
    <w:rsid w:val="006E0639"/>
    <w:rsid w:val="006E14F9"/>
    <w:rsid w:val="006E5A30"/>
    <w:rsid w:val="006E79E7"/>
    <w:rsid w:val="006F00EE"/>
    <w:rsid w:val="006F14B1"/>
    <w:rsid w:val="006F1D00"/>
    <w:rsid w:val="006F26C4"/>
    <w:rsid w:val="006F30B5"/>
    <w:rsid w:val="006F37A6"/>
    <w:rsid w:val="006F3F51"/>
    <w:rsid w:val="006F4359"/>
    <w:rsid w:val="006F4CF2"/>
    <w:rsid w:val="00700F94"/>
    <w:rsid w:val="00702482"/>
    <w:rsid w:val="00705D14"/>
    <w:rsid w:val="00710ADF"/>
    <w:rsid w:val="00715D36"/>
    <w:rsid w:val="007164D4"/>
    <w:rsid w:val="007168CC"/>
    <w:rsid w:val="00717B89"/>
    <w:rsid w:val="007207D2"/>
    <w:rsid w:val="00721030"/>
    <w:rsid w:val="00721093"/>
    <w:rsid w:val="00721807"/>
    <w:rsid w:val="00721CE9"/>
    <w:rsid w:val="00721EE4"/>
    <w:rsid w:val="007220BD"/>
    <w:rsid w:val="0072331C"/>
    <w:rsid w:val="00723B49"/>
    <w:rsid w:val="0072462C"/>
    <w:rsid w:val="0072537C"/>
    <w:rsid w:val="00731096"/>
    <w:rsid w:val="007319F4"/>
    <w:rsid w:val="0073290B"/>
    <w:rsid w:val="00733829"/>
    <w:rsid w:val="00734B10"/>
    <w:rsid w:val="00734E52"/>
    <w:rsid w:val="0073582B"/>
    <w:rsid w:val="00735C18"/>
    <w:rsid w:val="00735CCE"/>
    <w:rsid w:val="00736335"/>
    <w:rsid w:val="00736849"/>
    <w:rsid w:val="00737DEE"/>
    <w:rsid w:val="0074045B"/>
    <w:rsid w:val="00740967"/>
    <w:rsid w:val="00742C76"/>
    <w:rsid w:val="00743947"/>
    <w:rsid w:val="00743DF4"/>
    <w:rsid w:val="00746638"/>
    <w:rsid w:val="00747A4A"/>
    <w:rsid w:val="007500EF"/>
    <w:rsid w:val="00752A8F"/>
    <w:rsid w:val="00753DE3"/>
    <w:rsid w:val="00755431"/>
    <w:rsid w:val="007554BE"/>
    <w:rsid w:val="00755BBC"/>
    <w:rsid w:val="00756A35"/>
    <w:rsid w:val="00757624"/>
    <w:rsid w:val="007579E8"/>
    <w:rsid w:val="00757AD9"/>
    <w:rsid w:val="0076094E"/>
    <w:rsid w:val="00764BB9"/>
    <w:rsid w:val="00764D35"/>
    <w:rsid w:val="00765413"/>
    <w:rsid w:val="00765890"/>
    <w:rsid w:val="0076620A"/>
    <w:rsid w:val="00767D18"/>
    <w:rsid w:val="00770305"/>
    <w:rsid w:val="00770B97"/>
    <w:rsid w:val="00776BC9"/>
    <w:rsid w:val="0077760A"/>
    <w:rsid w:val="00780013"/>
    <w:rsid w:val="0078356B"/>
    <w:rsid w:val="007838CA"/>
    <w:rsid w:val="00784288"/>
    <w:rsid w:val="00784AF8"/>
    <w:rsid w:val="00785091"/>
    <w:rsid w:val="00785929"/>
    <w:rsid w:val="00786FFF"/>
    <w:rsid w:val="007877FF"/>
    <w:rsid w:val="00787B20"/>
    <w:rsid w:val="00790366"/>
    <w:rsid w:val="00793B88"/>
    <w:rsid w:val="00794119"/>
    <w:rsid w:val="00796790"/>
    <w:rsid w:val="007A11FF"/>
    <w:rsid w:val="007A4692"/>
    <w:rsid w:val="007A4ED7"/>
    <w:rsid w:val="007A5CA3"/>
    <w:rsid w:val="007A75A3"/>
    <w:rsid w:val="007A7B00"/>
    <w:rsid w:val="007B0476"/>
    <w:rsid w:val="007B09AD"/>
    <w:rsid w:val="007B1C81"/>
    <w:rsid w:val="007B2B4C"/>
    <w:rsid w:val="007B3EE4"/>
    <w:rsid w:val="007B5F72"/>
    <w:rsid w:val="007B602F"/>
    <w:rsid w:val="007B7283"/>
    <w:rsid w:val="007C1872"/>
    <w:rsid w:val="007C2E6C"/>
    <w:rsid w:val="007C36C4"/>
    <w:rsid w:val="007C3F1C"/>
    <w:rsid w:val="007C4F14"/>
    <w:rsid w:val="007C6DBA"/>
    <w:rsid w:val="007C759C"/>
    <w:rsid w:val="007D289B"/>
    <w:rsid w:val="007D52B8"/>
    <w:rsid w:val="007D6159"/>
    <w:rsid w:val="007D6E79"/>
    <w:rsid w:val="007D6E83"/>
    <w:rsid w:val="007E0EB9"/>
    <w:rsid w:val="007E1131"/>
    <w:rsid w:val="007E4E7B"/>
    <w:rsid w:val="007E58B8"/>
    <w:rsid w:val="007E7421"/>
    <w:rsid w:val="007F097B"/>
    <w:rsid w:val="007F1157"/>
    <w:rsid w:val="007F1170"/>
    <w:rsid w:val="007F2D64"/>
    <w:rsid w:val="007F3715"/>
    <w:rsid w:val="007F39D8"/>
    <w:rsid w:val="007F6CF6"/>
    <w:rsid w:val="007F7A0C"/>
    <w:rsid w:val="00800441"/>
    <w:rsid w:val="00801BE2"/>
    <w:rsid w:val="00801FB3"/>
    <w:rsid w:val="0080237F"/>
    <w:rsid w:val="00804356"/>
    <w:rsid w:val="00806CA4"/>
    <w:rsid w:val="008104C1"/>
    <w:rsid w:val="00810558"/>
    <w:rsid w:val="00810B98"/>
    <w:rsid w:val="00811D07"/>
    <w:rsid w:val="00814037"/>
    <w:rsid w:val="008155F3"/>
    <w:rsid w:val="008156F1"/>
    <w:rsid w:val="00816D42"/>
    <w:rsid w:val="008174AD"/>
    <w:rsid w:val="008176D2"/>
    <w:rsid w:val="00820469"/>
    <w:rsid w:val="008212E3"/>
    <w:rsid w:val="00821E81"/>
    <w:rsid w:val="00822787"/>
    <w:rsid w:val="0082679A"/>
    <w:rsid w:val="00826911"/>
    <w:rsid w:val="00826A1D"/>
    <w:rsid w:val="00830EA0"/>
    <w:rsid w:val="00831417"/>
    <w:rsid w:val="00831986"/>
    <w:rsid w:val="008322BE"/>
    <w:rsid w:val="00833C2C"/>
    <w:rsid w:val="00835C25"/>
    <w:rsid w:val="008405E3"/>
    <w:rsid w:val="00844391"/>
    <w:rsid w:val="00846317"/>
    <w:rsid w:val="008466C1"/>
    <w:rsid w:val="00850D70"/>
    <w:rsid w:val="00851C38"/>
    <w:rsid w:val="008524CF"/>
    <w:rsid w:val="00852ABC"/>
    <w:rsid w:val="0085372A"/>
    <w:rsid w:val="00853F47"/>
    <w:rsid w:val="00854731"/>
    <w:rsid w:val="00854BF1"/>
    <w:rsid w:val="00854E05"/>
    <w:rsid w:val="008550C8"/>
    <w:rsid w:val="008551AD"/>
    <w:rsid w:val="0085553C"/>
    <w:rsid w:val="0085591C"/>
    <w:rsid w:val="008559B6"/>
    <w:rsid w:val="00860951"/>
    <w:rsid w:val="008613B0"/>
    <w:rsid w:val="0086147B"/>
    <w:rsid w:val="00861933"/>
    <w:rsid w:val="008626BB"/>
    <w:rsid w:val="0086482D"/>
    <w:rsid w:val="0086565B"/>
    <w:rsid w:val="0086595B"/>
    <w:rsid w:val="008672C5"/>
    <w:rsid w:val="00867F00"/>
    <w:rsid w:val="0087161D"/>
    <w:rsid w:val="00872455"/>
    <w:rsid w:val="00872782"/>
    <w:rsid w:val="008731E7"/>
    <w:rsid w:val="008732A8"/>
    <w:rsid w:val="008745F0"/>
    <w:rsid w:val="00874646"/>
    <w:rsid w:val="00874B8A"/>
    <w:rsid w:val="0087596D"/>
    <w:rsid w:val="00875D3B"/>
    <w:rsid w:val="008766FA"/>
    <w:rsid w:val="00876DFC"/>
    <w:rsid w:val="00880407"/>
    <w:rsid w:val="00886A01"/>
    <w:rsid w:val="00887297"/>
    <w:rsid w:val="008875A3"/>
    <w:rsid w:val="00890A98"/>
    <w:rsid w:val="00892BC5"/>
    <w:rsid w:val="008944A8"/>
    <w:rsid w:val="00896225"/>
    <w:rsid w:val="008A102B"/>
    <w:rsid w:val="008A14D8"/>
    <w:rsid w:val="008A1A92"/>
    <w:rsid w:val="008A1B7E"/>
    <w:rsid w:val="008A25F8"/>
    <w:rsid w:val="008A2B92"/>
    <w:rsid w:val="008A429E"/>
    <w:rsid w:val="008A4438"/>
    <w:rsid w:val="008A4719"/>
    <w:rsid w:val="008A59F1"/>
    <w:rsid w:val="008A6209"/>
    <w:rsid w:val="008A7B3F"/>
    <w:rsid w:val="008B29D6"/>
    <w:rsid w:val="008B2B61"/>
    <w:rsid w:val="008B4959"/>
    <w:rsid w:val="008B4991"/>
    <w:rsid w:val="008B50EF"/>
    <w:rsid w:val="008B57FF"/>
    <w:rsid w:val="008B667F"/>
    <w:rsid w:val="008B6C23"/>
    <w:rsid w:val="008C210B"/>
    <w:rsid w:val="008C2E62"/>
    <w:rsid w:val="008C427E"/>
    <w:rsid w:val="008C4298"/>
    <w:rsid w:val="008C501F"/>
    <w:rsid w:val="008C6CAB"/>
    <w:rsid w:val="008C79AF"/>
    <w:rsid w:val="008D0A9E"/>
    <w:rsid w:val="008D0BFD"/>
    <w:rsid w:val="008D0C62"/>
    <w:rsid w:val="008D14BF"/>
    <w:rsid w:val="008D2258"/>
    <w:rsid w:val="008D2663"/>
    <w:rsid w:val="008D2FD5"/>
    <w:rsid w:val="008D39A0"/>
    <w:rsid w:val="008D3B3D"/>
    <w:rsid w:val="008D5CB3"/>
    <w:rsid w:val="008D7CBC"/>
    <w:rsid w:val="008E09B3"/>
    <w:rsid w:val="008E34F0"/>
    <w:rsid w:val="008E50CF"/>
    <w:rsid w:val="008E621D"/>
    <w:rsid w:val="008E640D"/>
    <w:rsid w:val="008E72BE"/>
    <w:rsid w:val="008E7E3D"/>
    <w:rsid w:val="008F1308"/>
    <w:rsid w:val="008F2BB3"/>
    <w:rsid w:val="008F3F07"/>
    <w:rsid w:val="008F47C0"/>
    <w:rsid w:val="008F7806"/>
    <w:rsid w:val="008F7E02"/>
    <w:rsid w:val="00900B23"/>
    <w:rsid w:val="00904240"/>
    <w:rsid w:val="00905C3B"/>
    <w:rsid w:val="009078AD"/>
    <w:rsid w:val="00912093"/>
    <w:rsid w:val="00912DCC"/>
    <w:rsid w:val="0091611D"/>
    <w:rsid w:val="009209C0"/>
    <w:rsid w:val="00921F9C"/>
    <w:rsid w:val="0092256B"/>
    <w:rsid w:val="00923272"/>
    <w:rsid w:val="009234F2"/>
    <w:rsid w:val="0092354F"/>
    <w:rsid w:val="0092569B"/>
    <w:rsid w:val="009258A7"/>
    <w:rsid w:val="009276D6"/>
    <w:rsid w:val="009279D4"/>
    <w:rsid w:val="00927C76"/>
    <w:rsid w:val="009302C8"/>
    <w:rsid w:val="00930B2C"/>
    <w:rsid w:val="00932021"/>
    <w:rsid w:val="00934620"/>
    <w:rsid w:val="00935B60"/>
    <w:rsid w:val="009366EB"/>
    <w:rsid w:val="00940200"/>
    <w:rsid w:val="00940629"/>
    <w:rsid w:val="0094371A"/>
    <w:rsid w:val="00944A92"/>
    <w:rsid w:val="00945033"/>
    <w:rsid w:val="009453E0"/>
    <w:rsid w:val="009513A5"/>
    <w:rsid w:val="009515EF"/>
    <w:rsid w:val="00951B0C"/>
    <w:rsid w:val="0095451E"/>
    <w:rsid w:val="00962722"/>
    <w:rsid w:val="0096278A"/>
    <w:rsid w:val="00963001"/>
    <w:rsid w:val="00963009"/>
    <w:rsid w:val="00964A0E"/>
    <w:rsid w:val="00965497"/>
    <w:rsid w:val="009660C1"/>
    <w:rsid w:val="009661D9"/>
    <w:rsid w:val="00967E52"/>
    <w:rsid w:val="00970F89"/>
    <w:rsid w:val="00972866"/>
    <w:rsid w:val="00972E72"/>
    <w:rsid w:val="00972EC6"/>
    <w:rsid w:val="00974011"/>
    <w:rsid w:val="00974CD8"/>
    <w:rsid w:val="00976A6D"/>
    <w:rsid w:val="009826AB"/>
    <w:rsid w:val="00984508"/>
    <w:rsid w:val="00985055"/>
    <w:rsid w:val="00985662"/>
    <w:rsid w:val="0099127D"/>
    <w:rsid w:val="00993FD1"/>
    <w:rsid w:val="00995077"/>
    <w:rsid w:val="009A144F"/>
    <w:rsid w:val="009A29E5"/>
    <w:rsid w:val="009A3377"/>
    <w:rsid w:val="009A3776"/>
    <w:rsid w:val="009A4173"/>
    <w:rsid w:val="009A4A77"/>
    <w:rsid w:val="009A6EC4"/>
    <w:rsid w:val="009A70AC"/>
    <w:rsid w:val="009A79AE"/>
    <w:rsid w:val="009B31D8"/>
    <w:rsid w:val="009B4AE0"/>
    <w:rsid w:val="009B5527"/>
    <w:rsid w:val="009B6BE6"/>
    <w:rsid w:val="009B7AF9"/>
    <w:rsid w:val="009C0F8A"/>
    <w:rsid w:val="009C1034"/>
    <w:rsid w:val="009C220E"/>
    <w:rsid w:val="009C493B"/>
    <w:rsid w:val="009C5512"/>
    <w:rsid w:val="009C5D2D"/>
    <w:rsid w:val="009C6F24"/>
    <w:rsid w:val="009D011E"/>
    <w:rsid w:val="009D169C"/>
    <w:rsid w:val="009D1900"/>
    <w:rsid w:val="009D1FAD"/>
    <w:rsid w:val="009D277D"/>
    <w:rsid w:val="009D3680"/>
    <w:rsid w:val="009D3B61"/>
    <w:rsid w:val="009D3F7F"/>
    <w:rsid w:val="009D69E6"/>
    <w:rsid w:val="009E0B14"/>
    <w:rsid w:val="009E2CC1"/>
    <w:rsid w:val="009E3708"/>
    <w:rsid w:val="009E4834"/>
    <w:rsid w:val="009E736F"/>
    <w:rsid w:val="009E7786"/>
    <w:rsid w:val="009F284F"/>
    <w:rsid w:val="009F2DCA"/>
    <w:rsid w:val="009F4AC5"/>
    <w:rsid w:val="009F71F0"/>
    <w:rsid w:val="00A004EE"/>
    <w:rsid w:val="00A00CB7"/>
    <w:rsid w:val="00A01952"/>
    <w:rsid w:val="00A04094"/>
    <w:rsid w:val="00A05A1D"/>
    <w:rsid w:val="00A07324"/>
    <w:rsid w:val="00A0772C"/>
    <w:rsid w:val="00A10D01"/>
    <w:rsid w:val="00A11004"/>
    <w:rsid w:val="00A110B8"/>
    <w:rsid w:val="00A12205"/>
    <w:rsid w:val="00A14A21"/>
    <w:rsid w:val="00A158FE"/>
    <w:rsid w:val="00A15C1C"/>
    <w:rsid w:val="00A15ED4"/>
    <w:rsid w:val="00A17CFA"/>
    <w:rsid w:val="00A21064"/>
    <w:rsid w:val="00A2519F"/>
    <w:rsid w:val="00A253CC"/>
    <w:rsid w:val="00A25CD2"/>
    <w:rsid w:val="00A3001F"/>
    <w:rsid w:val="00A3029E"/>
    <w:rsid w:val="00A30622"/>
    <w:rsid w:val="00A31575"/>
    <w:rsid w:val="00A33586"/>
    <w:rsid w:val="00A344B3"/>
    <w:rsid w:val="00A36F7D"/>
    <w:rsid w:val="00A375A8"/>
    <w:rsid w:val="00A41CBB"/>
    <w:rsid w:val="00A43B51"/>
    <w:rsid w:val="00A43DFB"/>
    <w:rsid w:val="00A452B7"/>
    <w:rsid w:val="00A46184"/>
    <w:rsid w:val="00A47358"/>
    <w:rsid w:val="00A51745"/>
    <w:rsid w:val="00A525E9"/>
    <w:rsid w:val="00A53C67"/>
    <w:rsid w:val="00A54540"/>
    <w:rsid w:val="00A55AB2"/>
    <w:rsid w:val="00A55E41"/>
    <w:rsid w:val="00A5648B"/>
    <w:rsid w:val="00A5682D"/>
    <w:rsid w:val="00A6187D"/>
    <w:rsid w:val="00A62F6C"/>
    <w:rsid w:val="00A64AFF"/>
    <w:rsid w:val="00A66E76"/>
    <w:rsid w:val="00A67B39"/>
    <w:rsid w:val="00A67E74"/>
    <w:rsid w:val="00A713BE"/>
    <w:rsid w:val="00A7369F"/>
    <w:rsid w:val="00A738C1"/>
    <w:rsid w:val="00A738FC"/>
    <w:rsid w:val="00A73B23"/>
    <w:rsid w:val="00A745B9"/>
    <w:rsid w:val="00A74B43"/>
    <w:rsid w:val="00A75818"/>
    <w:rsid w:val="00A75E54"/>
    <w:rsid w:val="00A761D5"/>
    <w:rsid w:val="00A7641F"/>
    <w:rsid w:val="00A80949"/>
    <w:rsid w:val="00A815A5"/>
    <w:rsid w:val="00A819E1"/>
    <w:rsid w:val="00A8462C"/>
    <w:rsid w:val="00A84E8D"/>
    <w:rsid w:val="00A85954"/>
    <w:rsid w:val="00A86B20"/>
    <w:rsid w:val="00A90BDF"/>
    <w:rsid w:val="00A91056"/>
    <w:rsid w:val="00A913F1"/>
    <w:rsid w:val="00A91AA3"/>
    <w:rsid w:val="00A931FD"/>
    <w:rsid w:val="00AA286C"/>
    <w:rsid w:val="00AA306D"/>
    <w:rsid w:val="00AA4A9A"/>
    <w:rsid w:val="00AA5CF1"/>
    <w:rsid w:val="00AA715C"/>
    <w:rsid w:val="00AA7DE6"/>
    <w:rsid w:val="00AB05FC"/>
    <w:rsid w:val="00AB31FB"/>
    <w:rsid w:val="00AB4CE5"/>
    <w:rsid w:val="00AB594D"/>
    <w:rsid w:val="00AB6405"/>
    <w:rsid w:val="00AB780D"/>
    <w:rsid w:val="00AC0EDB"/>
    <w:rsid w:val="00AC171F"/>
    <w:rsid w:val="00AC24FD"/>
    <w:rsid w:val="00AC2F8A"/>
    <w:rsid w:val="00AC34C2"/>
    <w:rsid w:val="00AC4253"/>
    <w:rsid w:val="00AC46DA"/>
    <w:rsid w:val="00AC4BC4"/>
    <w:rsid w:val="00AC4C47"/>
    <w:rsid w:val="00AC79E5"/>
    <w:rsid w:val="00AD0466"/>
    <w:rsid w:val="00AD224C"/>
    <w:rsid w:val="00AD3605"/>
    <w:rsid w:val="00AD3BC6"/>
    <w:rsid w:val="00AD3BFB"/>
    <w:rsid w:val="00AD5E2F"/>
    <w:rsid w:val="00AD6BA6"/>
    <w:rsid w:val="00AD7307"/>
    <w:rsid w:val="00AE062F"/>
    <w:rsid w:val="00AE0CA9"/>
    <w:rsid w:val="00AE0D7D"/>
    <w:rsid w:val="00AE1818"/>
    <w:rsid w:val="00AE29A8"/>
    <w:rsid w:val="00AE493E"/>
    <w:rsid w:val="00AE5B0E"/>
    <w:rsid w:val="00AE5C6E"/>
    <w:rsid w:val="00AE6D0E"/>
    <w:rsid w:val="00AE73DF"/>
    <w:rsid w:val="00AE7C4F"/>
    <w:rsid w:val="00AF0C0D"/>
    <w:rsid w:val="00AF16A2"/>
    <w:rsid w:val="00AF1772"/>
    <w:rsid w:val="00AF5760"/>
    <w:rsid w:val="00B008D5"/>
    <w:rsid w:val="00B0147C"/>
    <w:rsid w:val="00B01F72"/>
    <w:rsid w:val="00B0205D"/>
    <w:rsid w:val="00B02C4F"/>
    <w:rsid w:val="00B02FB8"/>
    <w:rsid w:val="00B03EF6"/>
    <w:rsid w:val="00B04001"/>
    <w:rsid w:val="00B041B9"/>
    <w:rsid w:val="00B04FCF"/>
    <w:rsid w:val="00B05CCB"/>
    <w:rsid w:val="00B10361"/>
    <w:rsid w:val="00B109BF"/>
    <w:rsid w:val="00B14DC3"/>
    <w:rsid w:val="00B1639D"/>
    <w:rsid w:val="00B17091"/>
    <w:rsid w:val="00B210CB"/>
    <w:rsid w:val="00B21319"/>
    <w:rsid w:val="00B226ED"/>
    <w:rsid w:val="00B22DBD"/>
    <w:rsid w:val="00B24BAC"/>
    <w:rsid w:val="00B2510F"/>
    <w:rsid w:val="00B30DBA"/>
    <w:rsid w:val="00B312F1"/>
    <w:rsid w:val="00B320A6"/>
    <w:rsid w:val="00B32110"/>
    <w:rsid w:val="00B3270E"/>
    <w:rsid w:val="00B3365A"/>
    <w:rsid w:val="00B342C1"/>
    <w:rsid w:val="00B34CE4"/>
    <w:rsid w:val="00B36441"/>
    <w:rsid w:val="00B371D7"/>
    <w:rsid w:val="00B374E4"/>
    <w:rsid w:val="00B378C3"/>
    <w:rsid w:val="00B37CA2"/>
    <w:rsid w:val="00B37F57"/>
    <w:rsid w:val="00B404DA"/>
    <w:rsid w:val="00B4139B"/>
    <w:rsid w:val="00B43423"/>
    <w:rsid w:val="00B43CFC"/>
    <w:rsid w:val="00B4516D"/>
    <w:rsid w:val="00B46395"/>
    <w:rsid w:val="00B46AE6"/>
    <w:rsid w:val="00B51BC0"/>
    <w:rsid w:val="00B521DF"/>
    <w:rsid w:val="00B57252"/>
    <w:rsid w:val="00B5768F"/>
    <w:rsid w:val="00B57CA5"/>
    <w:rsid w:val="00B607B8"/>
    <w:rsid w:val="00B60846"/>
    <w:rsid w:val="00B609F9"/>
    <w:rsid w:val="00B60C0C"/>
    <w:rsid w:val="00B60C90"/>
    <w:rsid w:val="00B6142F"/>
    <w:rsid w:val="00B62C7B"/>
    <w:rsid w:val="00B62DAB"/>
    <w:rsid w:val="00B70293"/>
    <w:rsid w:val="00B711E1"/>
    <w:rsid w:val="00B7124B"/>
    <w:rsid w:val="00B80585"/>
    <w:rsid w:val="00B8349D"/>
    <w:rsid w:val="00B84B0B"/>
    <w:rsid w:val="00B87A11"/>
    <w:rsid w:val="00B9114C"/>
    <w:rsid w:val="00B935A7"/>
    <w:rsid w:val="00B937C4"/>
    <w:rsid w:val="00B93A02"/>
    <w:rsid w:val="00B94D99"/>
    <w:rsid w:val="00B96BA4"/>
    <w:rsid w:val="00B971D1"/>
    <w:rsid w:val="00B9743F"/>
    <w:rsid w:val="00B97C66"/>
    <w:rsid w:val="00BA0002"/>
    <w:rsid w:val="00BA145C"/>
    <w:rsid w:val="00BA21E2"/>
    <w:rsid w:val="00BA2224"/>
    <w:rsid w:val="00BA41B7"/>
    <w:rsid w:val="00BA77AF"/>
    <w:rsid w:val="00BB027F"/>
    <w:rsid w:val="00BB033A"/>
    <w:rsid w:val="00BB1251"/>
    <w:rsid w:val="00BB1B5C"/>
    <w:rsid w:val="00BB200B"/>
    <w:rsid w:val="00BB5327"/>
    <w:rsid w:val="00BB6B3B"/>
    <w:rsid w:val="00BB7136"/>
    <w:rsid w:val="00BB73B9"/>
    <w:rsid w:val="00BB7FA1"/>
    <w:rsid w:val="00BC00FF"/>
    <w:rsid w:val="00BC0721"/>
    <w:rsid w:val="00BC0743"/>
    <w:rsid w:val="00BC1797"/>
    <w:rsid w:val="00BC23C0"/>
    <w:rsid w:val="00BC419E"/>
    <w:rsid w:val="00BC458D"/>
    <w:rsid w:val="00BC4CCA"/>
    <w:rsid w:val="00BC4ED5"/>
    <w:rsid w:val="00BC5921"/>
    <w:rsid w:val="00BC6EEE"/>
    <w:rsid w:val="00BC6FBF"/>
    <w:rsid w:val="00BC7754"/>
    <w:rsid w:val="00BD02A6"/>
    <w:rsid w:val="00BD09A0"/>
    <w:rsid w:val="00BD1C22"/>
    <w:rsid w:val="00BD203A"/>
    <w:rsid w:val="00BD2BB1"/>
    <w:rsid w:val="00BD4876"/>
    <w:rsid w:val="00BE15BF"/>
    <w:rsid w:val="00BE2E7B"/>
    <w:rsid w:val="00BE3040"/>
    <w:rsid w:val="00BE3E69"/>
    <w:rsid w:val="00BE4952"/>
    <w:rsid w:val="00BE4B01"/>
    <w:rsid w:val="00BE5C62"/>
    <w:rsid w:val="00BE7373"/>
    <w:rsid w:val="00BF11BD"/>
    <w:rsid w:val="00BF1316"/>
    <w:rsid w:val="00BF48BC"/>
    <w:rsid w:val="00BF54BB"/>
    <w:rsid w:val="00BF66D9"/>
    <w:rsid w:val="00BF6703"/>
    <w:rsid w:val="00BF76B8"/>
    <w:rsid w:val="00BF776F"/>
    <w:rsid w:val="00C0006C"/>
    <w:rsid w:val="00C02E4D"/>
    <w:rsid w:val="00C030F1"/>
    <w:rsid w:val="00C0386E"/>
    <w:rsid w:val="00C06D01"/>
    <w:rsid w:val="00C07B54"/>
    <w:rsid w:val="00C10779"/>
    <w:rsid w:val="00C10AE9"/>
    <w:rsid w:val="00C10CCE"/>
    <w:rsid w:val="00C10E31"/>
    <w:rsid w:val="00C11FB8"/>
    <w:rsid w:val="00C13AAC"/>
    <w:rsid w:val="00C13B4D"/>
    <w:rsid w:val="00C14D1C"/>
    <w:rsid w:val="00C16392"/>
    <w:rsid w:val="00C163B1"/>
    <w:rsid w:val="00C17C0A"/>
    <w:rsid w:val="00C20257"/>
    <w:rsid w:val="00C20DB0"/>
    <w:rsid w:val="00C232BB"/>
    <w:rsid w:val="00C23413"/>
    <w:rsid w:val="00C242FA"/>
    <w:rsid w:val="00C2573E"/>
    <w:rsid w:val="00C2613B"/>
    <w:rsid w:val="00C277C9"/>
    <w:rsid w:val="00C27BAC"/>
    <w:rsid w:val="00C30490"/>
    <w:rsid w:val="00C33613"/>
    <w:rsid w:val="00C344BC"/>
    <w:rsid w:val="00C356AB"/>
    <w:rsid w:val="00C35A4D"/>
    <w:rsid w:val="00C35E83"/>
    <w:rsid w:val="00C374BE"/>
    <w:rsid w:val="00C37750"/>
    <w:rsid w:val="00C379E6"/>
    <w:rsid w:val="00C40EC2"/>
    <w:rsid w:val="00C42FBE"/>
    <w:rsid w:val="00C44343"/>
    <w:rsid w:val="00C453EB"/>
    <w:rsid w:val="00C4549A"/>
    <w:rsid w:val="00C45DDD"/>
    <w:rsid w:val="00C46F87"/>
    <w:rsid w:val="00C52214"/>
    <w:rsid w:val="00C53D58"/>
    <w:rsid w:val="00C55114"/>
    <w:rsid w:val="00C606C0"/>
    <w:rsid w:val="00C61038"/>
    <w:rsid w:val="00C624D0"/>
    <w:rsid w:val="00C626B8"/>
    <w:rsid w:val="00C62B52"/>
    <w:rsid w:val="00C64438"/>
    <w:rsid w:val="00C6623E"/>
    <w:rsid w:val="00C6682B"/>
    <w:rsid w:val="00C669E6"/>
    <w:rsid w:val="00C71067"/>
    <w:rsid w:val="00C71301"/>
    <w:rsid w:val="00C713AD"/>
    <w:rsid w:val="00C7173D"/>
    <w:rsid w:val="00C73A56"/>
    <w:rsid w:val="00C765BC"/>
    <w:rsid w:val="00C7664F"/>
    <w:rsid w:val="00C77060"/>
    <w:rsid w:val="00C7784E"/>
    <w:rsid w:val="00C8122A"/>
    <w:rsid w:val="00C82063"/>
    <w:rsid w:val="00C83ECF"/>
    <w:rsid w:val="00C85479"/>
    <w:rsid w:val="00C86BEA"/>
    <w:rsid w:val="00C874E2"/>
    <w:rsid w:val="00C877CF"/>
    <w:rsid w:val="00C87DD9"/>
    <w:rsid w:val="00C87F1C"/>
    <w:rsid w:val="00C902DF"/>
    <w:rsid w:val="00C9111E"/>
    <w:rsid w:val="00C91955"/>
    <w:rsid w:val="00C9252C"/>
    <w:rsid w:val="00C93918"/>
    <w:rsid w:val="00C94EB5"/>
    <w:rsid w:val="00C95566"/>
    <w:rsid w:val="00C95921"/>
    <w:rsid w:val="00C97B7F"/>
    <w:rsid w:val="00CA1D47"/>
    <w:rsid w:val="00CA2353"/>
    <w:rsid w:val="00CA2379"/>
    <w:rsid w:val="00CA27E8"/>
    <w:rsid w:val="00CA33AC"/>
    <w:rsid w:val="00CA4D2E"/>
    <w:rsid w:val="00CA71C0"/>
    <w:rsid w:val="00CB04D0"/>
    <w:rsid w:val="00CB15A9"/>
    <w:rsid w:val="00CB1726"/>
    <w:rsid w:val="00CB2592"/>
    <w:rsid w:val="00CB2949"/>
    <w:rsid w:val="00CB2965"/>
    <w:rsid w:val="00CB3B53"/>
    <w:rsid w:val="00CB41EA"/>
    <w:rsid w:val="00CB6BEC"/>
    <w:rsid w:val="00CC0595"/>
    <w:rsid w:val="00CC16EF"/>
    <w:rsid w:val="00CC5E5C"/>
    <w:rsid w:val="00CC7270"/>
    <w:rsid w:val="00CD01D4"/>
    <w:rsid w:val="00CD4BF8"/>
    <w:rsid w:val="00CD7866"/>
    <w:rsid w:val="00CD7E75"/>
    <w:rsid w:val="00CE0433"/>
    <w:rsid w:val="00CE329A"/>
    <w:rsid w:val="00CE360C"/>
    <w:rsid w:val="00CE63B7"/>
    <w:rsid w:val="00CE6B63"/>
    <w:rsid w:val="00CE7F69"/>
    <w:rsid w:val="00CF21D4"/>
    <w:rsid w:val="00CF2604"/>
    <w:rsid w:val="00CF339C"/>
    <w:rsid w:val="00CF37A1"/>
    <w:rsid w:val="00CF43F1"/>
    <w:rsid w:val="00D00B43"/>
    <w:rsid w:val="00D01EAF"/>
    <w:rsid w:val="00D03310"/>
    <w:rsid w:val="00D04A2D"/>
    <w:rsid w:val="00D05638"/>
    <w:rsid w:val="00D069D2"/>
    <w:rsid w:val="00D1034E"/>
    <w:rsid w:val="00D10668"/>
    <w:rsid w:val="00D141A6"/>
    <w:rsid w:val="00D141C5"/>
    <w:rsid w:val="00D14D91"/>
    <w:rsid w:val="00D20E96"/>
    <w:rsid w:val="00D22597"/>
    <w:rsid w:val="00D2263C"/>
    <w:rsid w:val="00D22714"/>
    <w:rsid w:val="00D22A13"/>
    <w:rsid w:val="00D23706"/>
    <w:rsid w:val="00D245BE"/>
    <w:rsid w:val="00D24BCC"/>
    <w:rsid w:val="00D25037"/>
    <w:rsid w:val="00D250C9"/>
    <w:rsid w:val="00D25139"/>
    <w:rsid w:val="00D30510"/>
    <w:rsid w:val="00D31E9A"/>
    <w:rsid w:val="00D32FAB"/>
    <w:rsid w:val="00D344A5"/>
    <w:rsid w:val="00D346D8"/>
    <w:rsid w:val="00D34901"/>
    <w:rsid w:val="00D35191"/>
    <w:rsid w:val="00D40C5F"/>
    <w:rsid w:val="00D41BA4"/>
    <w:rsid w:val="00D42E50"/>
    <w:rsid w:val="00D43105"/>
    <w:rsid w:val="00D43491"/>
    <w:rsid w:val="00D44CD0"/>
    <w:rsid w:val="00D457F7"/>
    <w:rsid w:val="00D464FB"/>
    <w:rsid w:val="00D47AB4"/>
    <w:rsid w:val="00D50458"/>
    <w:rsid w:val="00D50493"/>
    <w:rsid w:val="00D50F7F"/>
    <w:rsid w:val="00D539E8"/>
    <w:rsid w:val="00D54BFA"/>
    <w:rsid w:val="00D553C4"/>
    <w:rsid w:val="00D55668"/>
    <w:rsid w:val="00D558B8"/>
    <w:rsid w:val="00D55DB7"/>
    <w:rsid w:val="00D5655A"/>
    <w:rsid w:val="00D56680"/>
    <w:rsid w:val="00D57512"/>
    <w:rsid w:val="00D60953"/>
    <w:rsid w:val="00D611DB"/>
    <w:rsid w:val="00D61FC7"/>
    <w:rsid w:val="00D62AC7"/>
    <w:rsid w:val="00D644B0"/>
    <w:rsid w:val="00D647AD"/>
    <w:rsid w:val="00D65AF6"/>
    <w:rsid w:val="00D65DC1"/>
    <w:rsid w:val="00D677DF"/>
    <w:rsid w:val="00D704A0"/>
    <w:rsid w:val="00D71108"/>
    <w:rsid w:val="00D71F72"/>
    <w:rsid w:val="00D72400"/>
    <w:rsid w:val="00D74DA5"/>
    <w:rsid w:val="00D77337"/>
    <w:rsid w:val="00D77E8A"/>
    <w:rsid w:val="00D804ED"/>
    <w:rsid w:val="00D80CCF"/>
    <w:rsid w:val="00D810F4"/>
    <w:rsid w:val="00D82DF7"/>
    <w:rsid w:val="00D8418D"/>
    <w:rsid w:val="00D8652E"/>
    <w:rsid w:val="00D87589"/>
    <w:rsid w:val="00D92A54"/>
    <w:rsid w:val="00D93BE2"/>
    <w:rsid w:val="00D95AFB"/>
    <w:rsid w:val="00DA2810"/>
    <w:rsid w:val="00DA3D52"/>
    <w:rsid w:val="00DA3EC3"/>
    <w:rsid w:val="00DA4046"/>
    <w:rsid w:val="00DA437C"/>
    <w:rsid w:val="00DA45FF"/>
    <w:rsid w:val="00DA4750"/>
    <w:rsid w:val="00DA650C"/>
    <w:rsid w:val="00DA6581"/>
    <w:rsid w:val="00DA7043"/>
    <w:rsid w:val="00DB1BB8"/>
    <w:rsid w:val="00DB1C5E"/>
    <w:rsid w:val="00DB210B"/>
    <w:rsid w:val="00DB2364"/>
    <w:rsid w:val="00DB3096"/>
    <w:rsid w:val="00DB5C8D"/>
    <w:rsid w:val="00DB6013"/>
    <w:rsid w:val="00DC128F"/>
    <w:rsid w:val="00DC1F38"/>
    <w:rsid w:val="00DC2EFE"/>
    <w:rsid w:val="00DC3AD9"/>
    <w:rsid w:val="00DC5113"/>
    <w:rsid w:val="00DC5FF2"/>
    <w:rsid w:val="00DC6166"/>
    <w:rsid w:val="00DC6695"/>
    <w:rsid w:val="00DC7BE2"/>
    <w:rsid w:val="00DD17AC"/>
    <w:rsid w:val="00DD5D42"/>
    <w:rsid w:val="00DD71B6"/>
    <w:rsid w:val="00DD7B24"/>
    <w:rsid w:val="00DD7B42"/>
    <w:rsid w:val="00DD7BE5"/>
    <w:rsid w:val="00DE0E55"/>
    <w:rsid w:val="00DE1694"/>
    <w:rsid w:val="00DE1CDB"/>
    <w:rsid w:val="00DE393E"/>
    <w:rsid w:val="00DE48EE"/>
    <w:rsid w:val="00DE7146"/>
    <w:rsid w:val="00DF25A6"/>
    <w:rsid w:val="00DF29F6"/>
    <w:rsid w:val="00DF2E0B"/>
    <w:rsid w:val="00DF2F91"/>
    <w:rsid w:val="00DF30F9"/>
    <w:rsid w:val="00DF33ED"/>
    <w:rsid w:val="00DF3573"/>
    <w:rsid w:val="00DF3928"/>
    <w:rsid w:val="00DF710F"/>
    <w:rsid w:val="00E0091A"/>
    <w:rsid w:val="00E00D64"/>
    <w:rsid w:val="00E01410"/>
    <w:rsid w:val="00E01740"/>
    <w:rsid w:val="00E02F13"/>
    <w:rsid w:val="00E032D4"/>
    <w:rsid w:val="00E04871"/>
    <w:rsid w:val="00E07680"/>
    <w:rsid w:val="00E07A08"/>
    <w:rsid w:val="00E07C44"/>
    <w:rsid w:val="00E14BBF"/>
    <w:rsid w:val="00E1655D"/>
    <w:rsid w:val="00E17245"/>
    <w:rsid w:val="00E20757"/>
    <w:rsid w:val="00E221FE"/>
    <w:rsid w:val="00E2230B"/>
    <w:rsid w:val="00E24B50"/>
    <w:rsid w:val="00E2544C"/>
    <w:rsid w:val="00E25C49"/>
    <w:rsid w:val="00E31F1B"/>
    <w:rsid w:val="00E320D9"/>
    <w:rsid w:val="00E33063"/>
    <w:rsid w:val="00E37066"/>
    <w:rsid w:val="00E37A62"/>
    <w:rsid w:val="00E41C02"/>
    <w:rsid w:val="00E420E3"/>
    <w:rsid w:val="00E433A9"/>
    <w:rsid w:val="00E44171"/>
    <w:rsid w:val="00E441FC"/>
    <w:rsid w:val="00E4424E"/>
    <w:rsid w:val="00E44C28"/>
    <w:rsid w:val="00E45B8B"/>
    <w:rsid w:val="00E45BC6"/>
    <w:rsid w:val="00E47F8C"/>
    <w:rsid w:val="00E50874"/>
    <w:rsid w:val="00E52F18"/>
    <w:rsid w:val="00E55BE7"/>
    <w:rsid w:val="00E564D7"/>
    <w:rsid w:val="00E611C7"/>
    <w:rsid w:val="00E612BC"/>
    <w:rsid w:val="00E62C91"/>
    <w:rsid w:val="00E67ACC"/>
    <w:rsid w:val="00E67C54"/>
    <w:rsid w:val="00E7322A"/>
    <w:rsid w:val="00E73E15"/>
    <w:rsid w:val="00E741B3"/>
    <w:rsid w:val="00E77206"/>
    <w:rsid w:val="00E82EA7"/>
    <w:rsid w:val="00E83C21"/>
    <w:rsid w:val="00E83FE7"/>
    <w:rsid w:val="00E8544A"/>
    <w:rsid w:val="00E86081"/>
    <w:rsid w:val="00E920A8"/>
    <w:rsid w:val="00E93C60"/>
    <w:rsid w:val="00E94475"/>
    <w:rsid w:val="00E94924"/>
    <w:rsid w:val="00E95974"/>
    <w:rsid w:val="00E95DFD"/>
    <w:rsid w:val="00E97EC2"/>
    <w:rsid w:val="00EA28C6"/>
    <w:rsid w:val="00EA3931"/>
    <w:rsid w:val="00EA4996"/>
    <w:rsid w:val="00EA7117"/>
    <w:rsid w:val="00EB341E"/>
    <w:rsid w:val="00EB407A"/>
    <w:rsid w:val="00EB45D7"/>
    <w:rsid w:val="00EB493C"/>
    <w:rsid w:val="00EB742F"/>
    <w:rsid w:val="00EB7884"/>
    <w:rsid w:val="00EC17F1"/>
    <w:rsid w:val="00EC1F28"/>
    <w:rsid w:val="00EC35D9"/>
    <w:rsid w:val="00EC44FD"/>
    <w:rsid w:val="00EC5DF0"/>
    <w:rsid w:val="00EC78D5"/>
    <w:rsid w:val="00ED09CB"/>
    <w:rsid w:val="00ED0B55"/>
    <w:rsid w:val="00ED2F8B"/>
    <w:rsid w:val="00ED2FAE"/>
    <w:rsid w:val="00ED4263"/>
    <w:rsid w:val="00ED6219"/>
    <w:rsid w:val="00ED6554"/>
    <w:rsid w:val="00ED6778"/>
    <w:rsid w:val="00EE1A8D"/>
    <w:rsid w:val="00EE2018"/>
    <w:rsid w:val="00EE2066"/>
    <w:rsid w:val="00EE2D3B"/>
    <w:rsid w:val="00EE303C"/>
    <w:rsid w:val="00EF13AE"/>
    <w:rsid w:val="00EF38A2"/>
    <w:rsid w:val="00EF48D9"/>
    <w:rsid w:val="00EF4A73"/>
    <w:rsid w:val="00EF5C2E"/>
    <w:rsid w:val="00EF5E79"/>
    <w:rsid w:val="00EF6C46"/>
    <w:rsid w:val="00F025A5"/>
    <w:rsid w:val="00F0324C"/>
    <w:rsid w:val="00F0546E"/>
    <w:rsid w:val="00F0596F"/>
    <w:rsid w:val="00F079BD"/>
    <w:rsid w:val="00F07C3E"/>
    <w:rsid w:val="00F10966"/>
    <w:rsid w:val="00F111E3"/>
    <w:rsid w:val="00F1150E"/>
    <w:rsid w:val="00F1172B"/>
    <w:rsid w:val="00F1237C"/>
    <w:rsid w:val="00F1572B"/>
    <w:rsid w:val="00F171A8"/>
    <w:rsid w:val="00F173B3"/>
    <w:rsid w:val="00F22B65"/>
    <w:rsid w:val="00F22F7F"/>
    <w:rsid w:val="00F233C2"/>
    <w:rsid w:val="00F247AA"/>
    <w:rsid w:val="00F329CE"/>
    <w:rsid w:val="00F371DD"/>
    <w:rsid w:val="00F405D0"/>
    <w:rsid w:val="00F408C1"/>
    <w:rsid w:val="00F43793"/>
    <w:rsid w:val="00F44711"/>
    <w:rsid w:val="00F45BB0"/>
    <w:rsid w:val="00F45CE1"/>
    <w:rsid w:val="00F460CA"/>
    <w:rsid w:val="00F4657B"/>
    <w:rsid w:val="00F4702F"/>
    <w:rsid w:val="00F50032"/>
    <w:rsid w:val="00F516A8"/>
    <w:rsid w:val="00F51990"/>
    <w:rsid w:val="00F51C27"/>
    <w:rsid w:val="00F52D20"/>
    <w:rsid w:val="00F53439"/>
    <w:rsid w:val="00F53EE8"/>
    <w:rsid w:val="00F61D2B"/>
    <w:rsid w:val="00F63DEA"/>
    <w:rsid w:val="00F64756"/>
    <w:rsid w:val="00F6622A"/>
    <w:rsid w:val="00F668AA"/>
    <w:rsid w:val="00F700DF"/>
    <w:rsid w:val="00F72B17"/>
    <w:rsid w:val="00F75461"/>
    <w:rsid w:val="00F76FD3"/>
    <w:rsid w:val="00F773BD"/>
    <w:rsid w:val="00F77997"/>
    <w:rsid w:val="00F87236"/>
    <w:rsid w:val="00F8745C"/>
    <w:rsid w:val="00F931CF"/>
    <w:rsid w:val="00F93FF8"/>
    <w:rsid w:val="00F9496A"/>
    <w:rsid w:val="00F94D5C"/>
    <w:rsid w:val="00F96296"/>
    <w:rsid w:val="00F977F0"/>
    <w:rsid w:val="00F97AAE"/>
    <w:rsid w:val="00FA0369"/>
    <w:rsid w:val="00FA12CB"/>
    <w:rsid w:val="00FA2802"/>
    <w:rsid w:val="00FA2C59"/>
    <w:rsid w:val="00FA2CDC"/>
    <w:rsid w:val="00FA5AD2"/>
    <w:rsid w:val="00FA620B"/>
    <w:rsid w:val="00FA6D61"/>
    <w:rsid w:val="00FA6E11"/>
    <w:rsid w:val="00FA71F9"/>
    <w:rsid w:val="00FA7E42"/>
    <w:rsid w:val="00FB1F42"/>
    <w:rsid w:val="00FB58A5"/>
    <w:rsid w:val="00FB5E99"/>
    <w:rsid w:val="00FB5ED3"/>
    <w:rsid w:val="00FB5FDE"/>
    <w:rsid w:val="00FB5FF9"/>
    <w:rsid w:val="00FB62BB"/>
    <w:rsid w:val="00FC0EF4"/>
    <w:rsid w:val="00FC1395"/>
    <w:rsid w:val="00FC178A"/>
    <w:rsid w:val="00FC1C3A"/>
    <w:rsid w:val="00FC460F"/>
    <w:rsid w:val="00FC4FED"/>
    <w:rsid w:val="00FC5E20"/>
    <w:rsid w:val="00FC6369"/>
    <w:rsid w:val="00FC6551"/>
    <w:rsid w:val="00FC7A3B"/>
    <w:rsid w:val="00FD010D"/>
    <w:rsid w:val="00FD0FE5"/>
    <w:rsid w:val="00FD208D"/>
    <w:rsid w:val="00FD3821"/>
    <w:rsid w:val="00FD4529"/>
    <w:rsid w:val="00FD5680"/>
    <w:rsid w:val="00FD66EC"/>
    <w:rsid w:val="00FD7635"/>
    <w:rsid w:val="00FE02C3"/>
    <w:rsid w:val="00FE0CFE"/>
    <w:rsid w:val="00FE19D3"/>
    <w:rsid w:val="00FE2A24"/>
    <w:rsid w:val="00FE6ADF"/>
    <w:rsid w:val="00FE6DAC"/>
    <w:rsid w:val="00FF2C42"/>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0E3B"/>
  <w15:chartTrackingRefBased/>
  <w15:docId w15:val="{B26AB64A-6243-44B5-9EE3-67D146E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7508">
      <w:bodyDiv w:val="1"/>
      <w:marLeft w:val="0"/>
      <w:marRight w:val="0"/>
      <w:marTop w:val="0"/>
      <w:marBottom w:val="0"/>
      <w:divBdr>
        <w:top w:val="none" w:sz="0" w:space="0" w:color="auto"/>
        <w:left w:val="none" w:sz="0" w:space="0" w:color="auto"/>
        <w:bottom w:val="none" w:sz="0" w:space="0" w:color="auto"/>
        <w:right w:val="none" w:sz="0" w:space="0" w:color="auto"/>
      </w:divBdr>
    </w:div>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safety/fmcsa-legal-opinion-applicability-preemption-determinations-pending-lawsuits" TargetMode="External"/><Relationship Id="rId13" Type="http://schemas.openxmlformats.org/officeDocument/2006/relationships/hyperlink" Target="https://www.federalregister.gov/d/2019-059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2019-060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9-06094" TargetMode="External"/><Relationship Id="rId5" Type="http://schemas.openxmlformats.org/officeDocument/2006/relationships/webSettings" Target="webSettings.xml"/><Relationship Id="rId15" Type="http://schemas.openxmlformats.org/officeDocument/2006/relationships/hyperlink" Target="https://westrk.org/district-court-order-dismisses-wsta-complaint-3-29-19/" TargetMode="External"/><Relationship Id="rId10" Type="http://schemas.openxmlformats.org/officeDocument/2006/relationships/hyperlink" Target="http://www.dol.gov/whd/overtime/regularrate201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2019-05687" TargetMode="External"/><Relationship Id="rId14" Type="http://schemas.openxmlformats.org/officeDocument/2006/relationships/hyperlink" Target="https://www.federalregister.gov/d/2019-05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EEC0-5A5D-4AFD-86E8-CD59161E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Vise</dc:creator>
  <cp:keywords/>
  <dc:description/>
  <cp:lastModifiedBy>user</cp:lastModifiedBy>
  <cp:revision>2</cp:revision>
  <cp:lastPrinted>2017-10-02T11:35:00Z</cp:lastPrinted>
  <dcterms:created xsi:type="dcterms:W3CDTF">2019-04-05T19:59:00Z</dcterms:created>
  <dcterms:modified xsi:type="dcterms:W3CDTF">2019-04-05T19:59:00Z</dcterms:modified>
</cp:coreProperties>
</file>